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3D3" w:rsidRDefault="00A243D3" w:rsidP="00A243D3">
      <w:pPr>
        <w:spacing w:after="0"/>
        <w:jc w:val="right"/>
        <w:rPr>
          <w:sz w:val="24"/>
          <w:szCs w:val="24"/>
        </w:rPr>
      </w:pPr>
      <w:r w:rsidRPr="00A243D3">
        <w:rPr>
          <w:sz w:val="24"/>
          <w:szCs w:val="24"/>
        </w:rPr>
        <w:t>Załącznik Nr 1 do SIWZ</w:t>
      </w:r>
    </w:p>
    <w:p w:rsidR="00A243D3" w:rsidRPr="00A243D3" w:rsidRDefault="005B0E11" w:rsidP="00A243D3">
      <w:pPr>
        <w:spacing w:after="0"/>
        <w:rPr>
          <w:sz w:val="24"/>
          <w:szCs w:val="24"/>
        </w:rPr>
      </w:pPr>
      <w:r>
        <w:rPr>
          <w:bCs/>
          <w:sz w:val="24"/>
          <w:szCs w:val="24"/>
        </w:rPr>
        <w:t>BiGK.271.1.</w:t>
      </w:r>
      <w:r w:rsidR="000B32E5">
        <w:rPr>
          <w:bCs/>
          <w:sz w:val="24"/>
          <w:szCs w:val="24"/>
        </w:rPr>
        <w:t>2</w:t>
      </w:r>
      <w:r w:rsidR="00A243D3" w:rsidRPr="00A243D3">
        <w:rPr>
          <w:bCs/>
          <w:sz w:val="24"/>
          <w:szCs w:val="24"/>
        </w:rPr>
        <w:t>.20</w:t>
      </w:r>
      <w:r w:rsidR="000B32E5">
        <w:rPr>
          <w:bCs/>
          <w:sz w:val="24"/>
          <w:szCs w:val="24"/>
        </w:rPr>
        <w:t>20</w:t>
      </w:r>
      <w:r w:rsidR="00A243D3" w:rsidRPr="00A243D3">
        <w:rPr>
          <w:bCs/>
          <w:sz w:val="24"/>
          <w:szCs w:val="24"/>
        </w:rPr>
        <w:tab/>
      </w:r>
    </w:p>
    <w:p w:rsidR="006916B8" w:rsidRDefault="006916B8" w:rsidP="006916B8">
      <w:pPr>
        <w:spacing w:after="0"/>
        <w:jc w:val="center"/>
        <w:rPr>
          <w:sz w:val="24"/>
          <w:szCs w:val="24"/>
          <w:u w:val="single"/>
        </w:rPr>
      </w:pPr>
      <w:r>
        <w:rPr>
          <w:sz w:val="24"/>
          <w:szCs w:val="24"/>
          <w:u w:val="single"/>
        </w:rPr>
        <w:t>Opis przedmiotu zamówienia</w:t>
      </w:r>
    </w:p>
    <w:p w:rsidR="00B22BF6" w:rsidRDefault="00B22BF6" w:rsidP="006916B8">
      <w:pPr>
        <w:spacing w:after="0"/>
        <w:jc w:val="center"/>
        <w:rPr>
          <w:sz w:val="24"/>
          <w:szCs w:val="24"/>
          <w:u w:val="single"/>
        </w:rPr>
      </w:pPr>
    </w:p>
    <w:p w:rsidR="005B0E11" w:rsidRDefault="005B0E11" w:rsidP="005B0E11">
      <w:pPr>
        <w:spacing w:after="0" w:line="360" w:lineRule="auto"/>
        <w:ind w:left="360"/>
        <w:jc w:val="center"/>
        <w:rPr>
          <w:rFonts w:ascii="Arial" w:eastAsia="Calibri" w:hAnsi="Arial" w:cs="Arial"/>
          <w:b/>
          <w:sz w:val="20"/>
          <w:szCs w:val="20"/>
        </w:rPr>
      </w:pPr>
      <w:r>
        <w:rPr>
          <w:rFonts w:ascii="Arial Narrow" w:hAnsi="Arial Narrow"/>
          <w:b/>
        </w:rPr>
        <w:t xml:space="preserve">„Obsługa bankowa budżetu </w:t>
      </w:r>
      <w:r w:rsidR="00CF70C2">
        <w:rPr>
          <w:rFonts w:ascii="Arial Narrow" w:hAnsi="Arial Narrow"/>
          <w:b/>
        </w:rPr>
        <w:t xml:space="preserve">i </w:t>
      </w:r>
      <w:r>
        <w:rPr>
          <w:rFonts w:ascii="Arial Narrow" w:hAnsi="Arial Narrow"/>
          <w:b/>
        </w:rPr>
        <w:t>jednostek organizacyjnych Gminy Lidzbark</w:t>
      </w:r>
      <w:r>
        <w:rPr>
          <w:rFonts w:ascii="Arial" w:hAnsi="Arial" w:cs="Arial"/>
          <w:b/>
          <w:color w:val="000000"/>
          <w:sz w:val="18"/>
          <w:szCs w:val="18"/>
        </w:rPr>
        <w:t>"</w:t>
      </w:r>
    </w:p>
    <w:p w:rsidR="00B22BF6" w:rsidRPr="002F397E" w:rsidRDefault="00B22BF6" w:rsidP="00B22BF6">
      <w:pPr>
        <w:spacing w:after="0" w:line="360" w:lineRule="auto"/>
        <w:jc w:val="center"/>
        <w:rPr>
          <w:sz w:val="24"/>
          <w:szCs w:val="24"/>
          <w:u w:val="single"/>
        </w:rPr>
      </w:pPr>
    </w:p>
    <w:p w:rsidR="006916B8" w:rsidRDefault="006916B8" w:rsidP="006916B8">
      <w:pPr>
        <w:spacing w:after="0"/>
        <w:rPr>
          <w:sz w:val="24"/>
          <w:szCs w:val="24"/>
        </w:rPr>
      </w:pPr>
    </w:p>
    <w:p w:rsidR="005B0E11" w:rsidRPr="00A27E8B" w:rsidRDefault="005B0E11" w:rsidP="005B0E11">
      <w:pPr>
        <w:rPr>
          <w:rFonts w:ascii="Arial Narrow" w:hAnsi="Arial Narrow" w:cs="Arial"/>
        </w:rPr>
      </w:pPr>
      <w:r w:rsidRPr="00A27E8B">
        <w:rPr>
          <w:rFonts w:ascii="Arial Narrow" w:hAnsi="Arial Narrow" w:cs="Arial"/>
        </w:rPr>
        <w:t xml:space="preserve">Prowadzenie obsługi bankowej budżetu </w:t>
      </w:r>
      <w:r>
        <w:rPr>
          <w:rFonts w:ascii="Arial Narrow" w:hAnsi="Arial Narrow" w:cs="Arial"/>
        </w:rPr>
        <w:t xml:space="preserve">niżej wymienionych </w:t>
      </w:r>
      <w:r w:rsidRPr="00A27E8B">
        <w:rPr>
          <w:rFonts w:ascii="Arial Narrow" w:hAnsi="Arial Narrow" w:cs="Arial"/>
        </w:rPr>
        <w:t>jednostek o</w:t>
      </w:r>
      <w:r w:rsidR="00CF70C2">
        <w:rPr>
          <w:rFonts w:ascii="Arial Narrow" w:hAnsi="Arial Narrow" w:cs="Arial"/>
        </w:rPr>
        <w:t xml:space="preserve">rganizacyjnych Gminy Lidzbark  </w:t>
      </w:r>
      <w:r>
        <w:rPr>
          <w:rFonts w:ascii="Arial Narrow" w:hAnsi="Arial Narrow" w:cs="Arial"/>
        </w:rPr>
        <w:t>od 01</w:t>
      </w:r>
      <w:r w:rsidR="00337727">
        <w:rPr>
          <w:rFonts w:ascii="Arial Narrow" w:hAnsi="Arial Narrow" w:cs="Arial"/>
        </w:rPr>
        <w:t>.04</w:t>
      </w:r>
      <w:r>
        <w:rPr>
          <w:rFonts w:ascii="Arial Narrow" w:hAnsi="Arial Narrow" w:cs="Arial"/>
        </w:rPr>
        <w:t>.20</w:t>
      </w:r>
      <w:r w:rsidR="00337727">
        <w:rPr>
          <w:rFonts w:ascii="Arial Narrow" w:hAnsi="Arial Narrow" w:cs="Arial"/>
        </w:rPr>
        <w:t>20</w:t>
      </w:r>
      <w:r w:rsidRPr="00A27E8B">
        <w:rPr>
          <w:rFonts w:ascii="Arial Narrow" w:hAnsi="Arial Narrow" w:cs="Arial"/>
        </w:rPr>
        <w:t xml:space="preserve"> r.  do </w:t>
      </w:r>
      <w:r w:rsidR="00337727">
        <w:rPr>
          <w:rFonts w:ascii="Arial Narrow" w:hAnsi="Arial Narrow" w:cs="Arial"/>
        </w:rPr>
        <w:t>31</w:t>
      </w:r>
      <w:r w:rsidRPr="00A27E8B">
        <w:rPr>
          <w:rFonts w:ascii="Arial Narrow" w:hAnsi="Arial Narrow" w:cs="Arial"/>
        </w:rPr>
        <w:t>.0</w:t>
      </w:r>
      <w:r w:rsidR="00337727">
        <w:rPr>
          <w:rFonts w:ascii="Arial Narrow" w:hAnsi="Arial Narrow" w:cs="Arial"/>
        </w:rPr>
        <w:t>3</w:t>
      </w:r>
      <w:r w:rsidRPr="00A27E8B">
        <w:rPr>
          <w:rFonts w:ascii="Arial Narrow" w:hAnsi="Arial Narrow" w:cs="Arial"/>
        </w:rPr>
        <w:t>.202</w:t>
      </w:r>
      <w:r w:rsidR="00337727">
        <w:rPr>
          <w:rFonts w:ascii="Arial Narrow" w:hAnsi="Arial Narrow" w:cs="Arial"/>
        </w:rPr>
        <w:t>3</w:t>
      </w:r>
      <w:r w:rsidRPr="00A27E8B">
        <w:rPr>
          <w:rFonts w:ascii="Arial Narrow" w:hAnsi="Arial Narrow" w:cs="Arial"/>
        </w:rPr>
        <w:t xml:space="preserve"> r.:</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 xml:space="preserve">Urząd Miasta i Gminy w Lidzbarku, ul. Sądowa 21, 13-230 Lidzbark </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Centrum Usług Wspólnych , ul. Jeleńska 38,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Przedszkole Miejskie w Lidzbarku ul. Akacjowa 19,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Nr 2 w Lidzbarku ul. Nowa 10,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Nr 1 w Lidzbarku ul. Działdowska 13,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w Bryńsku,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Szkoła Podstawowa w Dłutowie, ul. Długa 61 ,13-203  Dłutowo</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Miejski Ośrodek Pomocy Społecznej w Lidzbarku, ul. Jeleńska 26,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Miejski Ośrodek Sportu i  Rekreacji w Lidzbarku, ul. Nowa 10,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Senior</w:t>
      </w:r>
      <w:r w:rsidR="00337727">
        <w:rPr>
          <w:rFonts w:ascii="Arial Narrow" w:hAnsi="Arial Narrow" w:cs="Arial"/>
        </w:rPr>
        <w:t xml:space="preserve"> +</w:t>
      </w:r>
      <w:r w:rsidRPr="00A27E8B">
        <w:rPr>
          <w:rFonts w:ascii="Arial Narrow" w:hAnsi="Arial Narrow" w:cs="Arial"/>
        </w:rPr>
        <w:t xml:space="preserve"> w Lidzbarku, ul. Działdowska 10A,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Środowiskowy Dom Samopomocy w Lidzbarku, ul. Jeleńska 26,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Żłobek Miejski w Lidzbarku, ul. Zieluńska 7, 13-230 Lidzbark</w:t>
      </w:r>
    </w:p>
    <w:p w:rsidR="005B0E11" w:rsidRPr="00A27E8B" w:rsidRDefault="00B94292" w:rsidP="005B0E11">
      <w:pPr>
        <w:numPr>
          <w:ilvl w:val="1"/>
          <w:numId w:val="3"/>
        </w:numPr>
        <w:tabs>
          <w:tab w:val="left" w:pos="1080"/>
        </w:tabs>
        <w:spacing w:after="0" w:line="240" w:lineRule="auto"/>
        <w:rPr>
          <w:rFonts w:ascii="Arial Narrow" w:hAnsi="Arial Narrow" w:cs="Arial"/>
        </w:rPr>
      </w:pPr>
      <w:r>
        <w:rPr>
          <w:rFonts w:ascii="Arial Narrow" w:hAnsi="Arial Narrow" w:cs="Arial"/>
        </w:rPr>
        <w:t>Miejsko Gminny</w:t>
      </w:r>
      <w:r w:rsidR="005B0E11" w:rsidRPr="00A27E8B">
        <w:rPr>
          <w:rFonts w:ascii="Arial Narrow" w:hAnsi="Arial Narrow" w:cs="Arial"/>
        </w:rPr>
        <w:t xml:space="preserve"> Ośrodek Kultury w Lidzbarku ul. Sądowa 23, 13-230 Lidzbark</w:t>
      </w:r>
    </w:p>
    <w:p w:rsidR="005B0E11" w:rsidRPr="00A27E8B" w:rsidRDefault="005B0E11" w:rsidP="005B0E11">
      <w:pPr>
        <w:numPr>
          <w:ilvl w:val="1"/>
          <w:numId w:val="3"/>
        </w:numPr>
        <w:tabs>
          <w:tab w:val="left" w:pos="1080"/>
        </w:tabs>
        <w:spacing w:after="0" w:line="240" w:lineRule="auto"/>
        <w:rPr>
          <w:rFonts w:ascii="Arial Narrow" w:hAnsi="Arial Narrow" w:cs="Arial"/>
        </w:rPr>
      </w:pPr>
      <w:r w:rsidRPr="00A27E8B">
        <w:rPr>
          <w:rFonts w:ascii="Arial Narrow" w:hAnsi="Arial Narrow" w:cs="Arial"/>
        </w:rPr>
        <w:t>Miejsko Gminna Biblioteka Publiczna w Lidzbarku, ul. Zamkowa 2, 13-230 Lidzbark</w:t>
      </w:r>
    </w:p>
    <w:p w:rsidR="005B0E11" w:rsidRPr="00A27E8B" w:rsidRDefault="005B0E11" w:rsidP="005B0E11">
      <w:pPr>
        <w:tabs>
          <w:tab w:val="left" w:pos="1080"/>
        </w:tabs>
        <w:rPr>
          <w:rFonts w:ascii="Arial Narrow" w:hAnsi="Arial Narrow" w:cs="Arial"/>
        </w:rPr>
      </w:pPr>
    </w:p>
    <w:p w:rsidR="005B0E11" w:rsidRPr="00A27E8B" w:rsidRDefault="005B0E11" w:rsidP="00AB1AF9">
      <w:pPr>
        <w:tabs>
          <w:tab w:val="left" w:pos="1080"/>
        </w:tabs>
        <w:rPr>
          <w:rFonts w:ascii="Arial Narrow" w:hAnsi="Arial Narrow" w:cs="Arial"/>
        </w:rPr>
      </w:pPr>
      <w:r w:rsidRPr="00A27E8B">
        <w:rPr>
          <w:rFonts w:ascii="Arial Narrow" w:hAnsi="Arial Narrow" w:cs="Arial"/>
        </w:rPr>
        <w:t>W przypadku łączenia, przekształcenia jednostek organizacyjnych lub powstania nowych wykonawca zobowiązany jest do realizacji przedmiotowej usługi na warunkach zadeklarowanych w ofercie.</w:t>
      </w:r>
    </w:p>
    <w:p w:rsidR="005B0E11" w:rsidRPr="00A27E8B" w:rsidRDefault="005B0E11" w:rsidP="00AB1AF9">
      <w:pPr>
        <w:tabs>
          <w:tab w:val="left" w:pos="1080"/>
        </w:tabs>
        <w:spacing w:after="0"/>
        <w:ind w:left="720"/>
        <w:rPr>
          <w:rFonts w:ascii="Arial Narrow" w:hAnsi="Arial Narrow" w:cs="Arial"/>
        </w:rPr>
      </w:pPr>
      <w:r w:rsidRPr="00A27E8B">
        <w:rPr>
          <w:rFonts w:ascii="Arial Narrow" w:hAnsi="Arial Narrow" w:cs="Arial"/>
        </w:rPr>
        <w:t>Obecnie budżet Gminy Lidzbark na rok 20</w:t>
      </w:r>
      <w:r w:rsidR="00337727">
        <w:rPr>
          <w:rFonts w:ascii="Arial Narrow" w:hAnsi="Arial Narrow" w:cs="Arial"/>
        </w:rPr>
        <w:t>20</w:t>
      </w:r>
      <w:r w:rsidRPr="00A27E8B">
        <w:rPr>
          <w:rFonts w:ascii="Arial Narrow" w:hAnsi="Arial Narrow" w:cs="Arial"/>
        </w:rPr>
        <w:t xml:space="preserve"> kształtuje się:</w:t>
      </w:r>
    </w:p>
    <w:p w:rsidR="005B0E11" w:rsidRPr="00A27E8B" w:rsidRDefault="005B0E11" w:rsidP="005B0E11">
      <w:pPr>
        <w:numPr>
          <w:ilvl w:val="0"/>
          <w:numId w:val="4"/>
        </w:numPr>
        <w:spacing w:after="0" w:line="240" w:lineRule="auto"/>
        <w:rPr>
          <w:rFonts w:ascii="Arial Narrow" w:hAnsi="Arial Narrow" w:cs="Arial"/>
        </w:rPr>
      </w:pPr>
      <w:r w:rsidRPr="00A27E8B">
        <w:rPr>
          <w:rFonts w:ascii="Arial Narrow" w:hAnsi="Arial Narrow" w:cs="Arial"/>
        </w:rPr>
        <w:t xml:space="preserve">dochody budżetowe </w:t>
      </w:r>
      <w:r w:rsidR="00893DD3">
        <w:rPr>
          <w:rFonts w:ascii="Arial Narrow" w:hAnsi="Arial Narrow" w:cs="Arial"/>
        </w:rPr>
        <w:t>66</w:t>
      </w:r>
      <w:r w:rsidRPr="00A27E8B">
        <w:rPr>
          <w:rFonts w:ascii="Arial Narrow" w:hAnsi="Arial Narrow" w:cs="Arial"/>
        </w:rPr>
        <w:t>.</w:t>
      </w:r>
      <w:r w:rsidR="00893DD3">
        <w:rPr>
          <w:rFonts w:ascii="Arial Narrow" w:hAnsi="Arial Narrow" w:cs="Arial"/>
        </w:rPr>
        <w:t>015</w:t>
      </w:r>
      <w:r w:rsidRPr="00A27E8B">
        <w:rPr>
          <w:rFonts w:ascii="Arial Narrow" w:hAnsi="Arial Narrow" w:cs="Arial"/>
        </w:rPr>
        <w:t>.3</w:t>
      </w:r>
      <w:r w:rsidR="00893DD3">
        <w:rPr>
          <w:rFonts w:ascii="Arial Narrow" w:hAnsi="Arial Narrow" w:cs="Arial"/>
        </w:rPr>
        <w:t>73</w:t>
      </w:r>
      <w:r w:rsidRPr="00A27E8B">
        <w:rPr>
          <w:rFonts w:ascii="Arial Narrow" w:hAnsi="Arial Narrow" w:cs="Arial"/>
        </w:rPr>
        <w:t>,</w:t>
      </w:r>
      <w:r w:rsidR="00893DD3">
        <w:rPr>
          <w:rFonts w:ascii="Arial Narrow" w:hAnsi="Arial Narrow" w:cs="Arial"/>
        </w:rPr>
        <w:t>56</w:t>
      </w:r>
      <w:r w:rsidRPr="00A27E8B">
        <w:rPr>
          <w:rFonts w:ascii="Arial Narrow" w:hAnsi="Arial Narrow" w:cs="Arial"/>
        </w:rPr>
        <w:t xml:space="preserve"> zł</w:t>
      </w:r>
    </w:p>
    <w:p w:rsidR="005B0E11" w:rsidRPr="00A27E8B" w:rsidRDefault="005B0E11" w:rsidP="005B0E11">
      <w:pPr>
        <w:numPr>
          <w:ilvl w:val="0"/>
          <w:numId w:val="4"/>
        </w:numPr>
        <w:spacing w:after="0" w:line="240" w:lineRule="auto"/>
        <w:rPr>
          <w:rFonts w:ascii="Arial Narrow" w:hAnsi="Arial Narrow" w:cs="Arial"/>
        </w:rPr>
      </w:pPr>
      <w:r w:rsidRPr="00A27E8B">
        <w:rPr>
          <w:rFonts w:ascii="Arial Narrow" w:hAnsi="Arial Narrow" w:cs="Arial"/>
        </w:rPr>
        <w:t>wydatki budżetowe 6</w:t>
      </w:r>
      <w:r w:rsidR="00893DD3">
        <w:rPr>
          <w:rFonts w:ascii="Arial Narrow" w:hAnsi="Arial Narrow" w:cs="Arial"/>
        </w:rPr>
        <w:t>9</w:t>
      </w:r>
      <w:r w:rsidRPr="00A27E8B">
        <w:rPr>
          <w:rFonts w:ascii="Arial Narrow" w:hAnsi="Arial Narrow" w:cs="Arial"/>
        </w:rPr>
        <w:t>.</w:t>
      </w:r>
      <w:r w:rsidR="00893DD3">
        <w:rPr>
          <w:rFonts w:ascii="Arial Narrow" w:hAnsi="Arial Narrow" w:cs="Arial"/>
        </w:rPr>
        <w:t>390</w:t>
      </w:r>
      <w:r w:rsidRPr="00A27E8B">
        <w:rPr>
          <w:rFonts w:ascii="Arial Narrow" w:hAnsi="Arial Narrow" w:cs="Arial"/>
        </w:rPr>
        <w:t>.</w:t>
      </w:r>
      <w:r w:rsidR="00893DD3">
        <w:rPr>
          <w:rFonts w:ascii="Arial Narrow" w:hAnsi="Arial Narrow" w:cs="Arial"/>
        </w:rPr>
        <w:t>373</w:t>
      </w:r>
      <w:r w:rsidRPr="00A27E8B">
        <w:rPr>
          <w:rFonts w:ascii="Arial Narrow" w:hAnsi="Arial Narrow" w:cs="Arial"/>
        </w:rPr>
        <w:t>,</w:t>
      </w:r>
      <w:r w:rsidR="00893DD3">
        <w:rPr>
          <w:rFonts w:ascii="Arial Narrow" w:hAnsi="Arial Narrow" w:cs="Arial"/>
        </w:rPr>
        <w:t>56</w:t>
      </w:r>
      <w:r w:rsidRPr="00A27E8B">
        <w:rPr>
          <w:rFonts w:ascii="Arial Narrow" w:hAnsi="Arial Narrow" w:cs="Arial"/>
        </w:rPr>
        <w:t xml:space="preserve"> zł.</w:t>
      </w:r>
    </w:p>
    <w:p w:rsidR="005B0E11" w:rsidRPr="00AB1AF9" w:rsidRDefault="005B0E11" w:rsidP="00B078F8">
      <w:pPr>
        <w:spacing w:after="0" w:line="240" w:lineRule="auto"/>
        <w:ind w:left="720"/>
        <w:rPr>
          <w:rFonts w:ascii="Arial Narrow" w:hAnsi="Arial Narrow" w:cs="Arial"/>
        </w:rPr>
      </w:pPr>
    </w:p>
    <w:p w:rsidR="005B0E11" w:rsidRPr="00A27E8B" w:rsidRDefault="005B0E11" w:rsidP="005B0E11">
      <w:pPr>
        <w:tabs>
          <w:tab w:val="left" w:pos="1080"/>
        </w:tabs>
        <w:ind w:left="720"/>
        <w:rPr>
          <w:rFonts w:ascii="Arial Narrow" w:hAnsi="Arial Narrow" w:cs="Arial"/>
        </w:rPr>
      </w:pPr>
      <w:r w:rsidRPr="00A27E8B">
        <w:rPr>
          <w:rFonts w:ascii="Arial Narrow" w:hAnsi="Arial Narrow" w:cs="Arial"/>
        </w:rPr>
        <w:lastRenderedPageBreak/>
        <w:t>Bankowa obsługa będzie polegała na:</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otwieraniu i prowadzeniu rachunków bieżących, pomocniczych, depozytowych (oraz rachunków do obsługi pozyskiwanych środków zewnętrznych, w tym funduszy unijnych)</w:t>
      </w:r>
      <w:r w:rsidR="00893DD3">
        <w:rPr>
          <w:rFonts w:ascii="Arial Narrow" w:hAnsi="Arial Narrow" w:cs="Arial"/>
        </w:rPr>
        <w:t xml:space="preserve"> z zachowaniem tajemnicy wynagrodzeń</w:t>
      </w:r>
      <w:r w:rsidRPr="00A27E8B">
        <w:rPr>
          <w:rFonts w:ascii="Arial Narrow" w:hAnsi="Arial Narrow" w:cs="Arial"/>
        </w:rPr>
        <w:t xml:space="preserve">. Otwarcie rachunków powinno nastąpić najpóźniej od dnia </w:t>
      </w:r>
      <w:r w:rsidR="00893DD3">
        <w:rPr>
          <w:rFonts w:ascii="Arial Narrow" w:hAnsi="Arial Narrow" w:cs="Arial"/>
        </w:rPr>
        <w:t>28</w:t>
      </w:r>
      <w:r w:rsidRPr="00A27E8B">
        <w:rPr>
          <w:rFonts w:ascii="Arial Narrow" w:hAnsi="Arial Narrow" w:cs="Arial"/>
        </w:rPr>
        <w:t>.</w:t>
      </w:r>
      <w:r w:rsidR="00893DD3">
        <w:rPr>
          <w:rFonts w:ascii="Arial Narrow" w:hAnsi="Arial Narrow" w:cs="Arial"/>
        </w:rPr>
        <w:t>0</w:t>
      </w:r>
      <w:r w:rsidRPr="00A27E8B">
        <w:rPr>
          <w:rFonts w:ascii="Arial Narrow" w:hAnsi="Arial Narrow" w:cs="Arial"/>
        </w:rPr>
        <w:t>2.20</w:t>
      </w:r>
      <w:r w:rsidR="00893DD3">
        <w:rPr>
          <w:rFonts w:ascii="Arial Narrow" w:hAnsi="Arial Narrow" w:cs="Arial"/>
        </w:rPr>
        <w:t>20</w:t>
      </w:r>
      <w:r w:rsidRPr="00A27E8B">
        <w:rPr>
          <w:rFonts w:ascii="Arial Narrow" w:hAnsi="Arial Narrow" w:cs="Arial"/>
        </w:rPr>
        <w:t xml:space="preserve"> r.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realizacji poleceń przelewów do innych banków,</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bezpłatnej realizacji poleceń przelewów wewnętrznych (między rachunkami w tym samym banku),</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przyjmowaniu wpłat gotówkowych,</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dokonywaniu wypłat gotówkowych,</w:t>
      </w:r>
    </w:p>
    <w:p w:rsidR="005B0E11" w:rsidRPr="00A27E8B" w:rsidRDefault="008E69E0" w:rsidP="008E69E0">
      <w:pPr>
        <w:numPr>
          <w:ilvl w:val="0"/>
          <w:numId w:val="5"/>
        </w:numPr>
        <w:spacing w:after="0" w:line="240" w:lineRule="auto"/>
        <w:rPr>
          <w:rFonts w:ascii="Arial Narrow" w:hAnsi="Arial Narrow" w:cs="Arial"/>
        </w:rPr>
      </w:pPr>
      <w:r>
        <w:rPr>
          <w:rFonts w:ascii="Arial Narrow" w:hAnsi="Arial Narrow" w:cs="Arial"/>
        </w:rPr>
        <w:t>obsłu</w:t>
      </w:r>
      <w:r w:rsidR="00B078F8">
        <w:rPr>
          <w:rFonts w:ascii="Arial Narrow" w:hAnsi="Arial Narrow" w:cs="Arial"/>
        </w:rPr>
        <w:t>dze</w:t>
      </w:r>
      <w:r>
        <w:rPr>
          <w:rFonts w:ascii="Arial Narrow" w:hAnsi="Arial Narrow" w:cs="Arial"/>
        </w:rPr>
        <w:t xml:space="preserve"> operacji zagranicznych, </w:t>
      </w:r>
      <w:r w:rsidR="005B0E11">
        <w:rPr>
          <w:rFonts w:ascii="Arial Narrow" w:hAnsi="Arial Narrow" w:cs="Arial"/>
        </w:rPr>
        <w:t xml:space="preserve">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sporządzaniu wyciągów bankowych z potwierdzeniem salda na każdy dzień roboczy w formie papierowej,</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sporządzaniu wyciągów bankowych za każdy dzień, w którym dokonano operacji finansowej na rachunku wraz z załącznikami w formie papierowej,</w:t>
      </w:r>
    </w:p>
    <w:p w:rsidR="005B0E11" w:rsidRPr="00B078F8" w:rsidRDefault="005B0E11" w:rsidP="00B078F8">
      <w:pPr>
        <w:numPr>
          <w:ilvl w:val="0"/>
          <w:numId w:val="5"/>
        </w:numPr>
        <w:spacing w:after="0" w:line="240" w:lineRule="auto"/>
        <w:rPr>
          <w:rFonts w:ascii="Arial Narrow" w:hAnsi="Arial Narrow" w:cs="Arial"/>
        </w:rPr>
      </w:pPr>
      <w:r w:rsidRPr="00B078F8">
        <w:rPr>
          <w:rFonts w:ascii="Arial Narrow" w:hAnsi="Arial Narrow" w:cs="Arial"/>
        </w:rPr>
        <w:t>bezpłatnym udostępnieniu wszystkim jednostkom systemu umożliwiającego dokonanie drogą elektroniczną wyżej wymienionych czynności</w:t>
      </w:r>
      <w:r w:rsidR="00B078F8" w:rsidRPr="00B078F8">
        <w:rPr>
          <w:rFonts w:ascii="Arial Narrow" w:hAnsi="Arial Narrow" w:cs="Arial"/>
        </w:rPr>
        <w:t xml:space="preserve">, </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bezpłatnym wydawaniu wyciągów z rachunków bankowych z ustalonym saldem w dniu następnym do godz. 11.00,</w:t>
      </w:r>
    </w:p>
    <w:p w:rsidR="005B0E11" w:rsidRPr="00845DF3" w:rsidRDefault="005B0E11" w:rsidP="005B0E11">
      <w:pPr>
        <w:numPr>
          <w:ilvl w:val="0"/>
          <w:numId w:val="5"/>
        </w:numPr>
        <w:spacing w:after="0" w:line="240" w:lineRule="auto"/>
        <w:rPr>
          <w:rFonts w:ascii="Arial Narrow" w:hAnsi="Arial Narrow" w:cs="Arial"/>
        </w:rPr>
      </w:pPr>
      <w:r w:rsidRPr="00845DF3">
        <w:rPr>
          <w:rFonts w:ascii="Arial Narrow" w:hAnsi="Arial Narrow" w:cs="Arial"/>
        </w:rPr>
        <w:t>wydawani</w:t>
      </w:r>
      <w:r w:rsidR="002603D1" w:rsidRPr="00845DF3">
        <w:rPr>
          <w:rFonts w:ascii="Arial Narrow" w:hAnsi="Arial Narrow" w:cs="Arial"/>
        </w:rPr>
        <w:t>u</w:t>
      </w:r>
      <w:r w:rsidRPr="00845DF3">
        <w:rPr>
          <w:rFonts w:ascii="Arial Narrow" w:hAnsi="Arial Narrow" w:cs="Arial"/>
        </w:rPr>
        <w:t xml:space="preserve"> zaświadczeń przez bank,</w:t>
      </w:r>
    </w:p>
    <w:p w:rsidR="005B0E11" w:rsidRPr="00845DF3" w:rsidRDefault="005B0E11" w:rsidP="005B0E11">
      <w:pPr>
        <w:numPr>
          <w:ilvl w:val="0"/>
          <w:numId w:val="5"/>
        </w:numPr>
        <w:spacing w:after="0" w:line="240" w:lineRule="auto"/>
        <w:rPr>
          <w:rFonts w:ascii="Arial Narrow" w:hAnsi="Arial Narrow" w:cs="Arial"/>
        </w:rPr>
      </w:pPr>
      <w:bookmarkStart w:id="0" w:name="_GoBack"/>
      <w:bookmarkEnd w:id="0"/>
      <w:r w:rsidRPr="00845DF3">
        <w:rPr>
          <w:rFonts w:ascii="Arial Narrow" w:hAnsi="Arial Narrow" w:cs="Arial"/>
        </w:rPr>
        <w:t>wydawaniu książeczek czekowych,</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przenoszeniu przez Bank na rachunek budżetu Gminy Lidzbark, w ostatnim dniu roku, dochodów z tytułu naliczonych odsetek od środków na rachunkach bankowych jednostek podległych organizacyjnie Gminie,</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oprocentowaniu rachunków bieżących i pomocniczych budżetu Gminy Lidzbark i jej jednostek organizacyjnych; bank zapewnia oprocentowanie środków na rachunkach bankowych Gminy Lidzbark i jej jednostek organizacyjnych (bieżących i pomocniczych) płatnych na każde żądanie. Oprocentowanie będzie obliczone w oparciu o stawkę procentową WIBID 1M ustaloną w pierwszym dniu każdego miesiąca, na podstawie średniej arytmetycznej stawki WIBID 1M z poprzedniego miesiąca i obowiązującą do ostatniego dnia miesiąca następnego, powiększoną lub pomniejszoną o marżę oferowaną przez Bank w ofercie. Zmiana oprocentowania środków pieniężnych zgromadzonych na rachunku bieżącym będzie następowała w miesięcznych okresach obrachunkowych. Odsetki na rachunkach będą naliczane i dopisywane na koniec każdego miesiąca.</w:t>
      </w:r>
    </w:p>
    <w:p w:rsidR="005B0E11" w:rsidRPr="00A27E8B" w:rsidRDefault="005B0E11" w:rsidP="005B0E11">
      <w:pPr>
        <w:numPr>
          <w:ilvl w:val="0"/>
          <w:numId w:val="5"/>
        </w:numPr>
        <w:spacing w:after="0" w:line="240" w:lineRule="auto"/>
        <w:rPr>
          <w:rFonts w:ascii="Arial Narrow" w:hAnsi="Arial Narrow" w:cs="Arial"/>
        </w:rPr>
      </w:pPr>
      <w:r w:rsidRPr="00A27E8B">
        <w:rPr>
          <w:rFonts w:ascii="Arial Narrow" w:hAnsi="Arial Narrow" w:cs="Arial"/>
        </w:rPr>
        <w:t>udzielaniu kredytu w rachunku bieżącym do wysokości 2.</w:t>
      </w:r>
      <w:r w:rsidR="008E69E0">
        <w:rPr>
          <w:rFonts w:ascii="Arial Narrow" w:hAnsi="Arial Narrow" w:cs="Arial"/>
        </w:rPr>
        <w:t>5</w:t>
      </w:r>
      <w:r w:rsidRPr="00A27E8B">
        <w:rPr>
          <w:rFonts w:ascii="Arial Narrow" w:hAnsi="Arial Narrow" w:cs="Arial"/>
        </w:rPr>
        <w:t xml:space="preserve">00.000,00 PLN na pokrycie występującego w ciągu roku przejściowego deficytu budżetowego ewidencjonowanego w rachunku bieżącym budżetu. Z kredytu Zamawiający będzie </w:t>
      </w:r>
      <w:r w:rsidRPr="00A27E8B">
        <w:rPr>
          <w:rFonts w:ascii="Arial Narrow" w:hAnsi="Arial Narrow" w:cs="Arial"/>
          <w:b/>
        </w:rPr>
        <w:t>korzystał około 90 dni w roku</w:t>
      </w:r>
      <w:r w:rsidRPr="00A27E8B">
        <w:rPr>
          <w:rFonts w:ascii="Arial Narrow" w:hAnsi="Arial Narrow" w:cs="Arial"/>
        </w:rPr>
        <w:t xml:space="preserve">. </w:t>
      </w:r>
    </w:p>
    <w:p w:rsidR="005B0E11" w:rsidRPr="00A27E8B" w:rsidRDefault="005B0E11" w:rsidP="005B0E11">
      <w:pPr>
        <w:ind w:left="1080"/>
        <w:rPr>
          <w:rFonts w:ascii="Arial Narrow" w:hAnsi="Arial Narrow" w:cs="Arial"/>
        </w:rPr>
      </w:pPr>
      <w:r w:rsidRPr="00A27E8B">
        <w:rPr>
          <w:rFonts w:ascii="Arial Narrow" w:hAnsi="Arial Narrow" w:cs="Arial"/>
        </w:rPr>
        <w:t>Dopuszczalną formą zabezpieczenia kredytu będzie weksel In blanco.</w:t>
      </w:r>
      <w:r w:rsidRPr="00A27E8B">
        <w:rPr>
          <w:rFonts w:ascii="Arial Narrow" w:hAnsi="Arial Narrow" w:cs="Arial"/>
        </w:rPr>
        <w:br/>
        <w:t xml:space="preserve">Kredyt w następnych latach objętych umową może ulec zmianie w przypadku, gdy uchwała na dany rok budżetowy określać będzie inny limit. Kredyt będzie ewidencjonowany w rachunku bieżącym budżetu Gminy Lidzbark. Zamawiający może dysponować środkami do wysokości przyznanego limitu zadłużenia, natomiast każdy wpływ na rachunek bankowy będzie powodował zmniejszenie salda zadłużenia. Kredyt oprocentowany będzie według dziennej stawki bazowej WIBOR dla depozytów 1M </w:t>
      </w:r>
      <w:r w:rsidRPr="00A27E8B">
        <w:rPr>
          <w:rFonts w:ascii="Arial Narrow" w:hAnsi="Arial Narrow" w:cs="Arial"/>
          <w:b/>
        </w:rPr>
        <w:t>ustaloną jako średnią arytmetyczną notowań stawki WIBOR 1M za miesiąc poprzedzający kolejny miesięczny okres odsetkowy</w:t>
      </w:r>
      <w:r w:rsidRPr="00A27E8B">
        <w:rPr>
          <w:rFonts w:ascii="Arial Narrow" w:hAnsi="Arial Narrow" w:cs="Arial"/>
        </w:rPr>
        <w:t xml:space="preserve">, powiększony lub pomniejszony o marżę Wykonawcy w wysokości określonej w złożonej ofercie, stałą w okresie obowiązywania zamówienia. Bank nalicza odsetki od faktycznie wykorzystanych środków kredytu, w miesięcznych okresach obrachunkowych. Bank zobowiązany jest do wyliczenia odsetek za każdy miesiąc i przekazania obciążenia dla Zamawiającego celem dokonania zapłaty. </w:t>
      </w:r>
      <w:r w:rsidRPr="00A27E8B">
        <w:rPr>
          <w:rFonts w:ascii="Arial Narrow" w:hAnsi="Arial Narrow" w:cs="Arial"/>
        </w:rPr>
        <w:br/>
        <w:t>Spłata kredytu nastąpi najpóźniej w okresie do 31 grudnia danego roku budżetowego.</w:t>
      </w:r>
    </w:p>
    <w:p w:rsidR="005B0E11" w:rsidRPr="00A27E8B" w:rsidRDefault="005B0E11" w:rsidP="005B0E11">
      <w:pPr>
        <w:ind w:left="24"/>
        <w:rPr>
          <w:rFonts w:ascii="Arial Narrow" w:hAnsi="Arial Narrow" w:cs="Arial"/>
        </w:rPr>
      </w:pPr>
      <w:r w:rsidRPr="00A27E8B">
        <w:rPr>
          <w:rFonts w:ascii="Arial Narrow" w:hAnsi="Arial Narrow" w:cs="Arial"/>
          <w:b/>
        </w:rPr>
        <w:lastRenderedPageBreak/>
        <w:t>2</w:t>
      </w:r>
      <w:r w:rsidRPr="00A27E8B">
        <w:rPr>
          <w:rFonts w:ascii="Arial Narrow" w:hAnsi="Arial Narrow" w:cs="Arial"/>
        </w:rPr>
        <w:t>. Informacje o jednostkach organizacyjnych</w:t>
      </w:r>
    </w:p>
    <w:p w:rsidR="005B0E11" w:rsidRPr="00A27E8B" w:rsidRDefault="005B0E11" w:rsidP="005B0E11">
      <w:pPr>
        <w:ind w:left="720"/>
        <w:rPr>
          <w:rFonts w:ascii="Arial Narrow" w:hAnsi="Arial Narrow" w:cs="Arial"/>
        </w:rPr>
      </w:pPr>
      <w:r w:rsidRPr="00A27E8B">
        <w:rPr>
          <w:rFonts w:ascii="Arial Narrow" w:hAnsi="Arial Narrow" w:cs="Arial"/>
        </w:rPr>
        <w:t>Otwarcie rachunków bankowych i bankowa obsługa budżetu gminy Lidzbark dla wszystkich wymienionych wyżej jednoste</w:t>
      </w:r>
      <w:r>
        <w:rPr>
          <w:rFonts w:ascii="Arial Narrow" w:hAnsi="Arial Narrow" w:cs="Arial"/>
        </w:rPr>
        <w:t xml:space="preserve">k organizacyjnych </w:t>
      </w:r>
      <w:r w:rsidRPr="00A27E8B">
        <w:rPr>
          <w:rFonts w:ascii="Arial Narrow" w:hAnsi="Arial Narrow" w:cs="Arial"/>
        </w:rPr>
        <w:t xml:space="preserve">w Gminie Lidzbark na tych samych warunkach, co obsługa bankowa Gminy Lidzbark. </w:t>
      </w:r>
    </w:p>
    <w:p w:rsidR="005B0E11" w:rsidRPr="00A27E8B" w:rsidRDefault="005B0E11" w:rsidP="005B0E11">
      <w:pPr>
        <w:ind w:left="720"/>
        <w:rPr>
          <w:rFonts w:ascii="Arial Narrow" w:hAnsi="Arial Narrow" w:cs="Arial"/>
        </w:rPr>
      </w:pPr>
      <w:r w:rsidRPr="00A27E8B">
        <w:rPr>
          <w:rFonts w:ascii="Arial Narrow" w:hAnsi="Arial Narrow" w:cs="Arial"/>
        </w:rPr>
        <w:t>Umowy zawierane będą oddzielnie z każdą jednostka organizacyjną.</w:t>
      </w:r>
    </w:p>
    <w:p w:rsidR="005B0E11" w:rsidRPr="00A27E8B" w:rsidRDefault="005B0E11" w:rsidP="005B0E11">
      <w:pPr>
        <w:autoSpaceDE w:val="0"/>
        <w:autoSpaceDN w:val="0"/>
        <w:adjustRightInd w:val="0"/>
        <w:rPr>
          <w:rFonts w:ascii="Arial Narrow" w:hAnsi="Arial Narrow" w:cs="TimesNewRomanPSMT"/>
          <w:color w:val="000000"/>
        </w:rPr>
      </w:pPr>
      <w:r w:rsidRPr="00A27E8B">
        <w:rPr>
          <w:rFonts w:ascii="Arial Narrow" w:hAnsi="Arial Narrow" w:cs="TimesNewRomanPS-BoldMT"/>
          <w:b/>
          <w:bCs/>
          <w:color w:val="000000"/>
        </w:rPr>
        <w:t xml:space="preserve">3. </w:t>
      </w:r>
      <w:r w:rsidRPr="00A27E8B">
        <w:rPr>
          <w:rFonts w:ascii="Arial Narrow" w:hAnsi="Arial Narrow" w:cs="TimesNewRomanPSMT"/>
          <w:color w:val="000000"/>
        </w:rPr>
        <w:t>Dodatkowe warunki i objaśnienia:</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Zamawiający wymaga aby Wykonawca posiadał siedzibę, oddział(filię) na terenie miasta Lidzbarka.</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Zamawiający wymaga, aby stanowiska do bankowości elektronicznej funkcjonowały we wszystkich jednostkach z dniem obowiązywania umowy.</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Wykonawca w ramach złożonej oferty jest zobowiązany do zapewnienia kompleksowej obsługi elektronicznej w standardzie zapewniającym pełne bezpieczeństwo, zgodnie z przepisami prawa w zakresie bankowej obsługi finansowej budżetu gminy.</w:t>
      </w:r>
    </w:p>
    <w:p w:rsidR="005B0E11" w:rsidRPr="00A27E8B" w:rsidRDefault="005B0E11" w:rsidP="005B0E11">
      <w:pPr>
        <w:numPr>
          <w:ilvl w:val="0"/>
          <w:numId w:val="6"/>
        </w:numPr>
        <w:autoSpaceDE w:val="0"/>
        <w:autoSpaceDN w:val="0"/>
        <w:adjustRightInd w:val="0"/>
        <w:spacing w:after="0" w:line="240" w:lineRule="auto"/>
        <w:rPr>
          <w:rFonts w:ascii="Arial Narrow" w:hAnsi="Arial Narrow" w:cs="Arial"/>
          <w:color w:val="000000"/>
        </w:rPr>
      </w:pPr>
      <w:r w:rsidRPr="00A27E8B">
        <w:rPr>
          <w:rFonts w:ascii="Arial Narrow" w:hAnsi="Arial Narrow" w:cs="Arial"/>
          <w:color w:val="000000"/>
        </w:rPr>
        <w:t xml:space="preserve">Zamawiający informuje, że wszystkie materiały dotyczące budżetu gminy są zamieszczone na stronie internetowej </w:t>
      </w:r>
      <w:hyperlink r:id="rId5" w:history="1">
        <w:r w:rsidRPr="00A27E8B">
          <w:rPr>
            <w:rStyle w:val="Hipercze"/>
            <w:rFonts w:ascii="Arial Narrow" w:hAnsi="Arial Narrow" w:cs="Arial"/>
          </w:rPr>
          <w:t>www.bip.umig.lidzbark.pl/</w:t>
        </w:r>
      </w:hyperlink>
      <w:r w:rsidRPr="00A27E8B">
        <w:rPr>
          <w:rFonts w:ascii="Arial Narrow" w:hAnsi="Arial Narrow" w:cs="Arial"/>
          <w:color w:val="0000FF"/>
        </w:rPr>
        <w:t xml:space="preserve"> </w:t>
      </w:r>
    </w:p>
    <w:p w:rsidR="005B0E11"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 </w:t>
      </w:r>
      <w:r w:rsidRPr="00A27E8B">
        <w:rPr>
          <w:rFonts w:ascii="Arial Narrow" w:hAnsi="Arial Narrow" w:cs="Arial"/>
        </w:rPr>
        <w:t xml:space="preserve"> w zakładce budżet</w:t>
      </w:r>
      <w:r>
        <w:rPr>
          <w:rFonts w:ascii="Arial Narrow" w:hAnsi="Arial Narrow" w:cs="Arial"/>
        </w:rPr>
        <w:t>, finanse:</w:t>
      </w:r>
    </w:p>
    <w:p w:rsidR="005B0E11" w:rsidRPr="00A27E8B"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1)  sprawozdania z wykonania budżetu </w:t>
      </w:r>
    </w:p>
    <w:p w:rsidR="005B0E11" w:rsidRPr="00A27E8B" w:rsidRDefault="005B0E11" w:rsidP="005B0E11">
      <w:pPr>
        <w:autoSpaceDE w:val="0"/>
        <w:autoSpaceDN w:val="0"/>
        <w:adjustRightInd w:val="0"/>
        <w:ind w:left="360" w:firstLine="348"/>
        <w:rPr>
          <w:rFonts w:ascii="Arial Narrow" w:hAnsi="Arial Narrow" w:cs="Arial"/>
        </w:rPr>
      </w:pPr>
      <w:r>
        <w:rPr>
          <w:rFonts w:ascii="Arial Narrow" w:hAnsi="Arial Narrow" w:cs="Arial"/>
        </w:rPr>
        <w:t xml:space="preserve">2) </w:t>
      </w:r>
      <w:r w:rsidRPr="00A27E8B">
        <w:rPr>
          <w:rFonts w:ascii="Arial Narrow" w:hAnsi="Arial Narrow" w:cs="Arial"/>
        </w:rPr>
        <w:t xml:space="preserve">Wieloletnia Prognoza Finansowa </w:t>
      </w:r>
    </w:p>
    <w:p w:rsidR="00D43972" w:rsidRDefault="005B0E11" w:rsidP="005B0E11">
      <w:pPr>
        <w:spacing w:after="0"/>
        <w:ind w:left="709"/>
        <w:rPr>
          <w:rFonts w:ascii="Arial Narrow" w:hAnsi="Arial Narrow" w:cs="Arial"/>
        </w:rPr>
      </w:pPr>
      <w:r>
        <w:rPr>
          <w:rFonts w:ascii="Arial Narrow" w:hAnsi="Arial Narrow" w:cs="Arial"/>
        </w:rPr>
        <w:t>3)</w:t>
      </w:r>
      <w:r w:rsidRPr="00A27E8B">
        <w:rPr>
          <w:rFonts w:ascii="Arial Narrow" w:hAnsi="Arial Narrow" w:cs="Arial"/>
        </w:rPr>
        <w:t xml:space="preserve"> Opinie RIO </w:t>
      </w:r>
      <w:r>
        <w:rPr>
          <w:rFonts w:ascii="Arial Narrow" w:hAnsi="Arial Narrow" w:cs="Arial"/>
        </w:rPr>
        <w:t>dotyczące finansów</w:t>
      </w: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rsidP="005B0E11">
      <w:pPr>
        <w:spacing w:after="0"/>
        <w:ind w:left="709"/>
        <w:rPr>
          <w:rFonts w:ascii="Arial Narrow" w:hAnsi="Arial Narrow" w:cs="Arial"/>
        </w:rPr>
      </w:pPr>
    </w:p>
    <w:p w:rsidR="0069001B" w:rsidRDefault="0069001B">
      <w:pPr>
        <w:rPr>
          <w:rFonts w:ascii="Arial Narrow" w:hAnsi="Arial Narrow" w:cs="Arial"/>
        </w:rPr>
      </w:pPr>
      <w:r>
        <w:rPr>
          <w:rFonts w:ascii="Arial Narrow" w:hAnsi="Arial Narrow" w:cs="Arial"/>
        </w:rPr>
        <w:br w:type="page"/>
      </w:r>
    </w:p>
    <w:p w:rsidR="0069001B" w:rsidRPr="00C810D6" w:rsidRDefault="0069001B" w:rsidP="0069001B">
      <w:pPr>
        <w:shd w:val="clear" w:color="auto" w:fill="FFFFFF"/>
        <w:spacing w:before="271"/>
        <w:ind w:left="485"/>
        <w:rPr>
          <w:rFonts w:ascii="Times New Roman" w:hAnsi="Times New Roman" w:cs="Times New Roman"/>
          <w:b/>
          <w:color w:val="000000"/>
          <w:spacing w:val="-1"/>
          <w:sz w:val="18"/>
          <w:szCs w:val="18"/>
          <w:u w:val="single"/>
        </w:rPr>
      </w:pPr>
      <w:r w:rsidRPr="00C810D6">
        <w:rPr>
          <w:b/>
          <w:sz w:val="18"/>
          <w:szCs w:val="18"/>
          <w:u w:val="single"/>
        </w:rPr>
        <w:lastRenderedPageBreak/>
        <w:t>Szacunkowa ilość operacji na rachunkach bankowych</w:t>
      </w:r>
      <w:r w:rsidRPr="00C810D6">
        <w:rPr>
          <w:b/>
          <w:color w:val="000000"/>
          <w:spacing w:val="-1"/>
          <w:sz w:val="18"/>
          <w:szCs w:val="18"/>
          <w:u w:val="single"/>
        </w:rPr>
        <w:t xml:space="preserve"> w okresie  1 roku</w:t>
      </w:r>
    </w:p>
    <w:p w:rsidR="0069001B" w:rsidRPr="00C810D6" w:rsidRDefault="0069001B" w:rsidP="0069001B">
      <w:pPr>
        <w:shd w:val="clear" w:color="auto" w:fill="FFFFFF"/>
        <w:spacing w:before="271"/>
        <w:ind w:left="485"/>
        <w:rPr>
          <w:rFonts w:ascii="Times New Roman" w:hAnsi="Times New Roman" w:cs="Times New Roman"/>
          <w:color w:val="000000"/>
          <w:spacing w:val="-1"/>
          <w:sz w:val="18"/>
          <w:szCs w:val="18"/>
          <w:u w:val="single"/>
        </w:rPr>
      </w:pPr>
    </w:p>
    <w:tbl>
      <w:tblPr>
        <w:tblW w:w="6104" w:type="dxa"/>
        <w:tblInd w:w="-811" w:type="dxa"/>
        <w:tblLayout w:type="fixed"/>
        <w:tblCellMar>
          <w:left w:w="40" w:type="dxa"/>
          <w:right w:w="40" w:type="dxa"/>
        </w:tblCellMar>
        <w:tblLook w:val="0000" w:firstRow="0" w:lastRow="0" w:firstColumn="0" w:lastColumn="0" w:noHBand="0" w:noVBand="0"/>
      </w:tblPr>
      <w:tblGrid>
        <w:gridCol w:w="567"/>
        <w:gridCol w:w="3953"/>
        <w:gridCol w:w="1584"/>
      </w:tblGrid>
      <w:tr w:rsidR="00214CE3" w:rsidRPr="002512F2" w:rsidTr="002512F2">
        <w:trPr>
          <w:trHeight w:hRule="exact" w:val="490"/>
        </w:trPr>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214CE3" w:rsidRPr="002512F2" w:rsidRDefault="00214CE3" w:rsidP="00670011">
            <w:pPr>
              <w:shd w:val="clear" w:color="auto" w:fill="FFFFFF"/>
              <w:jc w:val="center"/>
              <w:rPr>
                <w:rFonts w:ascii="Arial Narrow" w:hAnsi="Arial Narrow" w:cs="Times New Roman"/>
              </w:rPr>
            </w:pPr>
            <w:r w:rsidRPr="002512F2">
              <w:rPr>
                <w:rFonts w:ascii="Arial Narrow" w:hAnsi="Arial Narrow" w:cs="Times New Roman"/>
                <w:color w:val="000000"/>
              </w:rPr>
              <w:t>Lp</w:t>
            </w:r>
          </w:p>
        </w:tc>
        <w:tc>
          <w:tcPr>
            <w:tcW w:w="3953" w:type="dxa"/>
            <w:tcBorders>
              <w:top w:val="single" w:sz="6" w:space="0" w:color="auto"/>
              <w:left w:val="single" w:sz="6" w:space="0" w:color="auto"/>
              <w:bottom w:val="single" w:sz="6" w:space="0" w:color="auto"/>
              <w:right w:val="single" w:sz="6" w:space="0" w:color="auto"/>
            </w:tcBorders>
            <w:shd w:val="clear" w:color="auto" w:fill="FFFFFF"/>
            <w:vAlign w:val="bottom"/>
          </w:tcPr>
          <w:p w:rsidR="00214CE3" w:rsidRPr="002512F2" w:rsidRDefault="00214CE3" w:rsidP="00670011">
            <w:pPr>
              <w:shd w:val="clear" w:color="auto" w:fill="FFFFFF"/>
              <w:ind w:left="1200"/>
              <w:rPr>
                <w:rFonts w:ascii="Arial Narrow" w:hAnsi="Arial Narrow" w:cs="Times New Roman"/>
              </w:rPr>
            </w:pPr>
            <w:r w:rsidRPr="002512F2">
              <w:rPr>
                <w:rFonts w:ascii="Arial Narrow" w:hAnsi="Arial Narrow" w:cs="Times New Roman"/>
                <w:color w:val="000000"/>
                <w:spacing w:val="4"/>
              </w:rPr>
              <w:t>Usługa bankowa</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bottom"/>
          </w:tcPr>
          <w:p w:rsidR="00214CE3" w:rsidRPr="002512F2" w:rsidRDefault="007C1DD1" w:rsidP="00670011">
            <w:pPr>
              <w:shd w:val="clear" w:color="auto" w:fill="FFFFFF"/>
              <w:ind w:left="422"/>
              <w:rPr>
                <w:rFonts w:ascii="Arial Narrow" w:hAnsi="Arial Narrow" w:cs="Times New Roman"/>
              </w:rPr>
            </w:pPr>
            <w:r w:rsidRPr="002512F2">
              <w:rPr>
                <w:rFonts w:ascii="Arial Narrow" w:hAnsi="Arial Narrow" w:cs="Times New Roman"/>
                <w:color w:val="000000"/>
                <w:spacing w:val="-3"/>
              </w:rPr>
              <w:t>Ilośc/wartość</w:t>
            </w:r>
          </w:p>
        </w:tc>
      </w:tr>
      <w:tr w:rsidR="00214CE3" w:rsidRPr="002512F2" w:rsidTr="002512F2">
        <w:trPr>
          <w:trHeight w:hRule="exact" w:val="3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r w:rsidRPr="002512F2">
              <w:rPr>
                <w:rFonts w:ascii="Arial Narrow" w:hAnsi="Arial Narrow" w:cs="Times New Roman"/>
                <w:color w:val="000000"/>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Ilość przelewów do obcego banku w szt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457540" w:rsidP="00670011">
            <w:pPr>
              <w:shd w:val="clear" w:color="auto" w:fill="FFFFFF"/>
              <w:jc w:val="right"/>
              <w:rPr>
                <w:rFonts w:ascii="Arial Narrow" w:hAnsi="Arial Narrow" w:cs="Times New Roman"/>
              </w:rPr>
            </w:pPr>
            <w:r w:rsidRPr="002512F2">
              <w:rPr>
                <w:rFonts w:ascii="Arial Narrow" w:hAnsi="Arial Narrow" w:cs="Times New Roman"/>
              </w:rPr>
              <w:t>36</w:t>
            </w:r>
            <w:r w:rsidR="00516F2F" w:rsidRPr="002512F2">
              <w:rPr>
                <w:rFonts w:ascii="Arial Narrow" w:hAnsi="Arial Narrow" w:cs="Times New Roman"/>
              </w:rPr>
              <w:t> </w:t>
            </w:r>
            <w:r w:rsidRPr="002512F2">
              <w:rPr>
                <w:rFonts w:ascii="Arial Narrow" w:hAnsi="Arial Narrow" w:cs="Times New Roman"/>
              </w:rPr>
              <w:t>408</w:t>
            </w:r>
            <w:r w:rsidR="00516F2F" w:rsidRPr="002512F2">
              <w:rPr>
                <w:rFonts w:ascii="Arial Narrow" w:hAnsi="Arial Narrow" w:cs="Times New Roman"/>
              </w:rPr>
              <w:t>,00</w:t>
            </w:r>
          </w:p>
        </w:tc>
      </w:tr>
      <w:tr w:rsidR="00214CE3" w:rsidRPr="002512F2" w:rsidTr="002512F2">
        <w:trPr>
          <w:trHeight w:hRule="exact" w:val="333"/>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r w:rsidRPr="002512F2">
              <w:rPr>
                <w:rFonts w:ascii="Arial Narrow" w:hAnsi="Arial Narrow" w:cs="Times New Roman"/>
                <w:color w:val="000000"/>
              </w:rPr>
              <w:t>2</w:t>
            </w:r>
          </w:p>
        </w:tc>
        <w:tc>
          <w:tcPr>
            <w:tcW w:w="3953"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Ilość przelewów wewnątrz banku w szt</w:t>
            </w:r>
          </w:p>
        </w:tc>
        <w:tc>
          <w:tcPr>
            <w:tcW w:w="1584"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457540" w:rsidP="00670011">
            <w:pPr>
              <w:shd w:val="clear" w:color="auto" w:fill="FFFFFF"/>
              <w:jc w:val="right"/>
              <w:rPr>
                <w:rFonts w:ascii="Arial Narrow" w:hAnsi="Arial Narrow" w:cs="Times New Roman"/>
              </w:rPr>
            </w:pPr>
            <w:r w:rsidRPr="002512F2">
              <w:rPr>
                <w:rFonts w:ascii="Arial Narrow" w:hAnsi="Arial Narrow" w:cs="Times New Roman"/>
              </w:rPr>
              <w:t>21</w:t>
            </w:r>
            <w:r w:rsidR="00516F2F" w:rsidRPr="002512F2">
              <w:rPr>
                <w:rFonts w:ascii="Arial Narrow" w:hAnsi="Arial Narrow" w:cs="Times New Roman"/>
              </w:rPr>
              <w:t> </w:t>
            </w:r>
            <w:r w:rsidRPr="002512F2">
              <w:rPr>
                <w:rFonts w:ascii="Arial Narrow" w:hAnsi="Arial Narrow" w:cs="Times New Roman"/>
              </w:rPr>
              <w:t>590</w:t>
            </w:r>
            <w:r w:rsidR="00516F2F" w:rsidRPr="002512F2">
              <w:rPr>
                <w:rFonts w:ascii="Arial Narrow" w:hAnsi="Arial Narrow" w:cs="Times New Roman"/>
              </w:rPr>
              <w:t>,00</w:t>
            </w:r>
          </w:p>
        </w:tc>
      </w:tr>
      <w:tr w:rsidR="00457540" w:rsidRPr="002512F2" w:rsidTr="002512F2">
        <w:trPr>
          <w:trHeight w:hRule="exact" w:val="404"/>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457540" w:rsidP="002512F2">
            <w:pPr>
              <w:shd w:val="clear" w:color="auto" w:fill="FFFFFF"/>
              <w:jc w:val="center"/>
              <w:rPr>
                <w:rFonts w:ascii="Arial Narrow" w:hAnsi="Arial Narrow" w:cs="Times New Roman"/>
                <w:color w:val="000000"/>
              </w:rPr>
            </w:pPr>
            <w:r w:rsidRPr="002512F2">
              <w:rPr>
                <w:rFonts w:ascii="Arial Narrow" w:hAnsi="Arial Narrow" w:cs="Times New Roman"/>
                <w:color w:val="000000"/>
              </w:rPr>
              <w:t>3</w:t>
            </w:r>
          </w:p>
        </w:tc>
        <w:tc>
          <w:tcPr>
            <w:tcW w:w="3953"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516F2F" w:rsidP="00670011">
            <w:pPr>
              <w:shd w:val="clear" w:color="auto" w:fill="FFFFFF"/>
              <w:rPr>
                <w:rFonts w:ascii="Arial Narrow" w:hAnsi="Arial Narrow" w:cs="Times New Roman"/>
                <w:color w:val="000000"/>
                <w:spacing w:val="-2"/>
              </w:rPr>
            </w:pPr>
            <w:r w:rsidRPr="002512F2">
              <w:rPr>
                <w:rFonts w:ascii="Arial Narrow" w:hAnsi="Arial Narrow" w:cs="Times New Roman"/>
                <w:color w:val="000000"/>
                <w:spacing w:val="-2"/>
              </w:rPr>
              <w:t xml:space="preserve">Wartość wpłat gotówkowych w zł </w:t>
            </w:r>
          </w:p>
          <w:p w:rsidR="00457540" w:rsidRPr="002512F2" w:rsidRDefault="00457540" w:rsidP="00670011">
            <w:pPr>
              <w:shd w:val="clear" w:color="auto" w:fill="FFFFFF"/>
              <w:rPr>
                <w:rFonts w:ascii="Arial Narrow" w:hAnsi="Arial Narrow" w:cs="Times New Roman"/>
                <w:color w:val="000000"/>
                <w:spacing w:val="-2"/>
              </w:rPr>
            </w:pPr>
          </w:p>
          <w:p w:rsidR="00457540" w:rsidRPr="002512F2" w:rsidRDefault="00457540" w:rsidP="00670011">
            <w:pPr>
              <w:shd w:val="clear" w:color="auto" w:fill="FFFFFF"/>
              <w:rPr>
                <w:rFonts w:ascii="Arial Narrow" w:hAnsi="Arial Narrow" w:cs="Times New Roman"/>
                <w:color w:val="000000"/>
                <w:spacing w:val="-2"/>
              </w:rPr>
            </w:pPr>
          </w:p>
        </w:tc>
        <w:tc>
          <w:tcPr>
            <w:tcW w:w="1584"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516F2F" w:rsidP="00670011">
            <w:pPr>
              <w:shd w:val="clear" w:color="auto" w:fill="FFFFFF"/>
              <w:jc w:val="right"/>
              <w:rPr>
                <w:rFonts w:ascii="Arial Narrow" w:hAnsi="Arial Narrow" w:cs="Times New Roman"/>
              </w:rPr>
            </w:pPr>
            <w:r w:rsidRPr="002512F2">
              <w:rPr>
                <w:rFonts w:ascii="Arial Narrow" w:hAnsi="Arial Narrow" w:cs="Times New Roman"/>
              </w:rPr>
              <w:t>2 017 115,74</w:t>
            </w:r>
          </w:p>
          <w:p w:rsidR="00457540" w:rsidRPr="002512F2" w:rsidRDefault="00457540" w:rsidP="00670011">
            <w:pPr>
              <w:shd w:val="clear" w:color="auto" w:fill="FFFFFF"/>
              <w:jc w:val="right"/>
              <w:rPr>
                <w:rFonts w:ascii="Arial Narrow" w:hAnsi="Arial Narrow" w:cs="Times New Roman"/>
              </w:rPr>
            </w:pPr>
          </w:p>
          <w:p w:rsidR="00457540" w:rsidRPr="002512F2" w:rsidRDefault="00457540" w:rsidP="00670011">
            <w:pPr>
              <w:shd w:val="clear" w:color="auto" w:fill="FFFFFF"/>
              <w:jc w:val="right"/>
              <w:rPr>
                <w:rFonts w:ascii="Arial Narrow" w:hAnsi="Arial Narrow" w:cs="Times New Roman"/>
              </w:rPr>
            </w:pPr>
          </w:p>
          <w:p w:rsidR="00457540" w:rsidRPr="002512F2" w:rsidRDefault="00457540" w:rsidP="00670011">
            <w:pPr>
              <w:shd w:val="clear" w:color="auto" w:fill="FFFFFF"/>
              <w:jc w:val="right"/>
              <w:rPr>
                <w:rFonts w:ascii="Arial Narrow" w:hAnsi="Arial Narrow" w:cs="Times New Roman"/>
              </w:rPr>
            </w:pPr>
          </w:p>
          <w:p w:rsidR="00457540" w:rsidRPr="002512F2" w:rsidRDefault="00457540" w:rsidP="00670011">
            <w:pPr>
              <w:shd w:val="clear" w:color="auto" w:fill="FFFFFF"/>
              <w:jc w:val="right"/>
              <w:rPr>
                <w:rFonts w:ascii="Arial Narrow" w:hAnsi="Arial Narrow" w:cs="Times New Roman"/>
              </w:rPr>
            </w:pPr>
          </w:p>
        </w:tc>
      </w:tr>
      <w:tr w:rsidR="00457540" w:rsidRPr="002512F2" w:rsidTr="002512F2">
        <w:trPr>
          <w:trHeight w:hRule="exact" w:val="295"/>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457540" w:rsidP="002512F2">
            <w:pPr>
              <w:shd w:val="clear" w:color="auto" w:fill="FFFFFF"/>
              <w:jc w:val="center"/>
              <w:rPr>
                <w:rFonts w:ascii="Arial Narrow" w:hAnsi="Arial Narrow" w:cs="Times New Roman"/>
                <w:color w:val="000000"/>
              </w:rPr>
            </w:pPr>
            <w:r w:rsidRPr="002512F2">
              <w:rPr>
                <w:rFonts w:ascii="Arial Narrow" w:hAnsi="Arial Narrow" w:cs="Times New Roman"/>
                <w:color w:val="000000"/>
              </w:rPr>
              <w:t>4</w:t>
            </w:r>
          </w:p>
        </w:tc>
        <w:tc>
          <w:tcPr>
            <w:tcW w:w="3953"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516F2F" w:rsidP="00670011">
            <w:pPr>
              <w:shd w:val="clear" w:color="auto" w:fill="FFFFFF"/>
              <w:rPr>
                <w:rFonts w:ascii="Arial Narrow" w:hAnsi="Arial Narrow" w:cs="Times New Roman"/>
                <w:color w:val="000000"/>
                <w:spacing w:val="-2"/>
              </w:rPr>
            </w:pPr>
            <w:r w:rsidRPr="002512F2">
              <w:rPr>
                <w:rFonts w:ascii="Arial Narrow" w:hAnsi="Arial Narrow" w:cs="Times New Roman"/>
                <w:color w:val="000000"/>
                <w:spacing w:val="-2"/>
              </w:rPr>
              <w:t xml:space="preserve">Wartość wypłat gotówkowych w zł </w:t>
            </w:r>
          </w:p>
        </w:tc>
        <w:tc>
          <w:tcPr>
            <w:tcW w:w="1584" w:type="dxa"/>
            <w:tcBorders>
              <w:top w:val="single" w:sz="4" w:space="0" w:color="auto"/>
              <w:left w:val="single" w:sz="6" w:space="0" w:color="auto"/>
              <w:bottom w:val="single" w:sz="4" w:space="0" w:color="auto"/>
              <w:right w:val="single" w:sz="6" w:space="0" w:color="auto"/>
            </w:tcBorders>
            <w:shd w:val="clear" w:color="auto" w:fill="FFFFFF"/>
          </w:tcPr>
          <w:p w:rsidR="00457540" w:rsidRPr="002512F2" w:rsidRDefault="00516F2F" w:rsidP="00670011">
            <w:pPr>
              <w:shd w:val="clear" w:color="auto" w:fill="FFFFFF"/>
              <w:jc w:val="right"/>
              <w:rPr>
                <w:rFonts w:ascii="Arial Narrow" w:hAnsi="Arial Narrow" w:cs="Times New Roman"/>
              </w:rPr>
            </w:pPr>
            <w:r w:rsidRPr="002512F2">
              <w:rPr>
                <w:rFonts w:ascii="Arial Narrow" w:hAnsi="Arial Narrow" w:cs="Times New Roman"/>
              </w:rPr>
              <w:t>728 187,96</w:t>
            </w:r>
          </w:p>
        </w:tc>
      </w:tr>
      <w:tr w:rsidR="00214CE3" w:rsidRPr="002512F2" w:rsidTr="002512F2">
        <w:trPr>
          <w:trHeight w:hRule="exact" w:val="298"/>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457540" w:rsidP="002512F2">
            <w:pPr>
              <w:shd w:val="clear" w:color="auto" w:fill="FFFFFF"/>
              <w:jc w:val="center"/>
              <w:rPr>
                <w:rFonts w:ascii="Arial Narrow" w:hAnsi="Arial Narrow" w:cs="Times New Roman"/>
              </w:rPr>
            </w:pPr>
            <w:r w:rsidRPr="002512F2">
              <w:rPr>
                <w:rFonts w:ascii="Arial Narrow" w:hAnsi="Arial Narrow" w:cs="Times New Roman"/>
                <w:color w:val="000000"/>
              </w:rPr>
              <w:t>5</w:t>
            </w:r>
          </w:p>
        </w:tc>
        <w:tc>
          <w:tcPr>
            <w:tcW w:w="3953"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1"/>
              </w:rPr>
              <w:t>Ilość wypłat w siedzibie banku w tym:</w:t>
            </w:r>
          </w:p>
        </w:tc>
        <w:tc>
          <w:tcPr>
            <w:tcW w:w="1584"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214CE3" w:rsidRPr="002512F2" w:rsidTr="002512F2">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1"/>
              </w:rPr>
              <w:t>dodatki mieszkaniowe szt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214CE3" w:rsidRPr="002512F2" w:rsidTr="002512F2">
        <w:trPr>
          <w:trHeight w:hRule="exact" w:val="307"/>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p>
        </w:tc>
        <w:tc>
          <w:tcPr>
            <w:tcW w:w="3953"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1"/>
              </w:rPr>
              <w:t>zasiłki stałe szt</w:t>
            </w:r>
          </w:p>
        </w:tc>
        <w:tc>
          <w:tcPr>
            <w:tcW w:w="1584" w:type="dxa"/>
            <w:tcBorders>
              <w:top w:val="single" w:sz="4" w:space="0" w:color="auto"/>
              <w:left w:val="single" w:sz="6" w:space="0" w:color="auto"/>
              <w:bottom w:val="single" w:sz="6"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214CE3" w:rsidRPr="002512F2" w:rsidTr="002512F2">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1"/>
              </w:rPr>
              <w:t>zasiłki okresowe szt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214CE3" w:rsidRPr="002512F2" w:rsidTr="002512F2">
        <w:trPr>
          <w:trHeight w:hRule="exact" w:val="2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1"/>
              </w:rPr>
              <w:t>zasiłki rodzinne i fundusz alimentacyjny szt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214CE3" w:rsidRPr="002512F2" w:rsidTr="002512F2">
        <w:trPr>
          <w:trHeight w:hRule="exact" w:val="34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214CE3" w:rsidP="002512F2">
            <w:pPr>
              <w:shd w:val="clear" w:color="auto" w:fill="FFFFFF"/>
              <w:jc w:val="center"/>
              <w:rPr>
                <w:rFonts w:ascii="Arial Narrow" w:hAnsi="Arial Narrow" w:cs="Times New Roman"/>
              </w:rPr>
            </w:pPr>
          </w:p>
        </w:tc>
        <w:tc>
          <w:tcPr>
            <w:tcW w:w="3953"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świadczenia wychowawcze 500 +</w:t>
            </w:r>
          </w:p>
        </w:tc>
        <w:tc>
          <w:tcPr>
            <w:tcW w:w="1584" w:type="dxa"/>
            <w:tcBorders>
              <w:top w:val="single" w:sz="6" w:space="0" w:color="auto"/>
              <w:left w:val="single" w:sz="6" w:space="0" w:color="auto"/>
              <w:bottom w:val="single" w:sz="4" w:space="0" w:color="auto"/>
              <w:right w:val="single" w:sz="6" w:space="0" w:color="auto"/>
            </w:tcBorders>
            <w:shd w:val="clear" w:color="auto" w:fill="FFFFFF"/>
          </w:tcPr>
          <w:p w:rsidR="00214CE3" w:rsidRPr="002512F2" w:rsidRDefault="00516F2F" w:rsidP="00516F2F">
            <w:pPr>
              <w:shd w:val="clear" w:color="auto" w:fill="FFFFFF"/>
              <w:jc w:val="right"/>
              <w:rPr>
                <w:rFonts w:ascii="Arial Narrow" w:hAnsi="Arial Narrow" w:cs="Times New Roman"/>
              </w:rPr>
            </w:pPr>
            <w:r w:rsidRPr="002512F2">
              <w:rPr>
                <w:rFonts w:ascii="Arial Narrow" w:hAnsi="Arial Narrow" w:cs="Times New Roman"/>
              </w:rPr>
              <w:t>0</w:t>
            </w:r>
          </w:p>
        </w:tc>
      </w:tr>
      <w:tr w:rsidR="007C1DD1" w:rsidRPr="002512F2" w:rsidTr="002512F2">
        <w:trPr>
          <w:trHeight w:hRule="exact" w:val="310"/>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7C1DD1" w:rsidRPr="002512F2" w:rsidRDefault="007C1DD1" w:rsidP="002512F2">
            <w:pPr>
              <w:shd w:val="clear" w:color="auto" w:fill="FFFFFF"/>
              <w:jc w:val="center"/>
              <w:rPr>
                <w:rFonts w:ascii="Arial Narrow" w:hAnsi="Arial Narrow" w:cs="Times New Roman"/>
              </w:rPr>
            </w:pPr>
            <w:r w:rsidRPr="002512F2">
              <w:rPr>
                <w:rFonts w:ascii="Arial Narrow" w:hAnsi="Arial Narrow" w:cs="Times New Roman"/>
              </w:rPr>
              <w:t>6</w:t>
            </w:r>
          </w:p>
        </w:tc>
        <w:tc>
          <w:tcPr>
            <w:tcW w:w="3953" w:type="dxa"/>
            <w:tcBorders>
              <w:top w:val="single" w:sz="4" w:space="0" w:color="auto"/>
              <w:left w:val="single" w:sz="6" w:space="0" w:color="auto"/>
              <w:bottom w:val="single" w:sz="6" w:space="0" w:color="auto"/>
              <w:right w:val="single" w:sz="6" w:space="0" w:color="auto"/>
            </w:tcBorders>
            <w:shd w:val="clear" w:color="auto" w:fill="FFFFFF"/>
          </w:tcPr>
          <w:p w:rsidR="007C1DD1" w:rsidRPr="002512F2" w:rsidRDefault="007C1DD1" w:rsidP="00670011">
            <w:pPr>
              <w:shd w:val="clear" w:color="auto" w:fill="FFFFFF"/>
              <w:rPr>
                <w:rFonts w:ascii="Arial Narrow" w:hAnsi="Arial Narrow" w:cs="Times New Roman"/>
                <w:color w:val="000000"/>
                <w:spacing w:val="-2"/>
              </w:rPr>
            </w:pPr>
            <w:r w:rsidRPr="002512F2">
              <w:rPr>
                <w:rFonts w:ascii="Arial Narrow" w:hAnsi="Arial Narrow" w:cs="Times New Roman"/>
                <w:color w:val="000000"/>
                <w:spacing w:val="-2"/>
              </w:rPr>
              <w:t xml:space="preserve">Otwarcie rachunku </w:t>
            </w:r>
          </w:p>
        </w:tc>
        <w:tc>
          <w:tcPr>
            <w:tcW w:w="1584" w:type="dxa"/>
            <w:tcBorders>
              <w:top w:val="single" w:sz="4" w:space="0" w:color="auto"/>
              <w:left w:val="single" w:sz="6" w:space="0" w:color="auto"/>
              <w:bottom w:val="single" w:sz="6" w:space="0" w:color="auto"/>
              <w:right w:val="single" w:sz="6" w:space="0" w:color="auto"/>
            </w:tcBorders>
            <w:shd w:val="clear" w:color="auto" w:fill="FFFFFF"/>
          </w:tcPr>
          <w:p w:rsidR="007C1DD1" w:rsidRPr="002512F2" w:rsidRDefault="007C1DD1" w:rsidP="00516F2F">
            <w:pPr>
              <w:shd w:val="clear" w:color="auto" w:fill="FFFFFF"/>
              <w:jc w:val="right"/>
              <w:rPr>
                <w:rFonts w:ascii="Arial Narrow" w:hAnsi="Arial Narrow" w:cs="Times New Roman"/>
              </w:rPr>
            </w:pPr>
            <w:r w:rsidRPr="002512F2">
              <w:rPr>
                <w:rFonts w:ascii="Arial Narrow" w:hAnsi="Arial Narrow" w:cs="Times New Roman"/>
              </w:rPr>
              <w:t>46</w:t>
            </w:r>
          </w:p>
        </w:tc>
      </w:tr>
      <w:tr w:rsidR="00214CE3" w:rsidRPr="002512F2" w:rsidTr="002512F2">
        <w:trPr>
          <w:trHeight w:hRule="exact" w:val="2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2512F2">
            <w:pPr>
              <w:shd w:val="clear" w:color="auto" w:fill="FFFFFF"/>
              <w:jc w:val="center"/>
              <w:rPr>
                <w:rFonts w:ascii="Arial Narrow" w:hAnsi="Arial Narrow" w:cs="Times New Roman"/>
              </w:rPr>
            </w:pPr>
            <w:r w:rsidRPr="002512F2">
              <w:rPr>
                <w:rFonts w:ascii="Arial Narrow" w:hAnsi="Arial Narrow" w:cs="Times New Roman"/>
                <w:color w:val="000000"/>
              </w:rPr>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Ilość rachunków podstawowych</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214CE3">
            <w:pPr>
              <w:shd w:val="clear" w:color="auto" w:fill="FFFFFF"/>
              <w:jc w:val="right"/>
              <w:rPr>
                <w:rFonts w:ascii="Arial Narrow" w:hAnsi="Arial Narrow" w:cs="Times New Roman"/>
              </w:rPr>
            </w:pPr>
            <w:r w:rsidRPr="002512F2">
              <w:rPr>
                <w:rFonts w:ascii="Arial Narrow" w:hAnsi="Arial Narrow" w:cs="Times New Roman"/>
              </w:rPr>
              <w:t>14</w:t>
            </w:r>
          </w:p>
        </w:tc>
      </w:tr>
      <w:tr w:rsidR="00214CE3" w:rsidRPr="002512F2" w:rsidTr="002512F2">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2512F2">
            <w:pPr>
              <w:shd w:val="clear" w:color="auto" w:fill="FFFFFF"/>
              <w:jc w:val="center"/>
              <w:rPr>
                <w:rFonts w:ascii="Arial Narrow" w:hAnsi="Arial Narrow" w:cs="Times New Roman"/>
              </w:rPr>
            </w:pPr>
            <w:r w:rsidRPr="002512F2">
              <w:rPr>
                <w:rFonts w:ascii="Arial Narrow" w:hAnsi="Arial Narrow" w:cs="Times New Roman"/>
                <w:color w:val="000000"/>
              </w:rPr>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Ilość rachunków pomocniczych</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670011">
            <w:pPr>
              <w:shd w:val="clear" w:color="auto" w:fill="FFFFFF"/>
              <w:jc w:val="right"/>
              <w:rPr>
                <w:rFonts w:ascii="Arial Narrow" w:hAnsi="Arial Narrow" w:cs="Times New Roman"/>
              </w:rPr>
            </w:pPr>
            <w:r w:rsidRPr="002512F2">
              <w:rPr>
                <w:rFonts w:ascii="Arial Narrow" w:hAnsi="Arial Narrow" w:cs="Times New Roman"/>
              </w:rPr>
              <w:t>46</w:t>
            </w:r>
          </w:p>
        </w:tc>
      </w:tr>
      <w:tr w:rsidR="00214CE3" w:rsidRPr="002512F2" w:rsidTr="002512F2">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2512F2">
            <w:pPr>
              <w:shd w:val="clear" w:color="auto" w:fill="FFFFFF"/>
              <w:jc w:val="center"/>
              <w:rPr>
                <w:rFonts w:ascii="Arial Narrow" w:hAnsi="Arial Narrow" w:cs="Times New Roman"/>
              </w:rPr>
            </w:pPr>
            <w:r w:rsidRPr="002512F2">
              <w:rPr>
                <w:rFonts w:ascii="Arial Narrow" w:hAnsi="Arial Narrow" w:cs="Times New Roman"/>
                <w:color w:val="000000"/>
              </w:rPr>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14CE3" w:rsidP="00670011">
            <w:pPr>
              <w:shd w:val="clear" w:color="auto" w:fill="FFFFFF"/>
              <w:rPr>
                <w:rFonts w:ascii="Arial Narrow" w:hAnsi="Arial Narrow" w:cs="Times New Roman"/>
              </w:rPr>
            </w:pPr>
            <w:r w:rsidRPr="002512F2">
              <w:rPr>
                <w:rFonts w:ascii="Arial Narrow" w:hAnsi="Arial Narrow" w:cs="Times New Roman"/>
                <w:color w:val="000000"/>
                <w:spacing w:val="-2"/>
              </w:rPr>
              <w:t>Ilość blankietów czekowych</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4CE3" w:rsidRPr="002512F2" w:rsidRDefault="002512F2" w:rsidP="00670011">
            <w:pPr>
              <w:shd w:val="clear" w:color="auto" w:fill="FFFFFF"/>
              <w:jc w:val="right"/>
              <w:rPr>
                <w:rFonts w:ascii="Arial Narrow" w:hAnsi="Arial Narrow" w:cs="Times New Roman"/>
              </w:rPr>
            </w:pPr>
            <w:r w:rsidRPr="002512F2">
              <w:rPr>
                <w:rFonts w:ascii="Arial Narrow" w:hAnsi="Arial Narrow" w:cs="Times New Roman"/>
              </w:rPr>
              <w:t>297</w:t>
            </w:r>
          </w:p>
        </w:tc>
      </w:tr>
      <w:tr w:rsidR="007C1DD1" w:rsidRPr="002512F2" w:rsidTr="002512F2">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C1DD1" w:rsidRPr="002512F2" w:rsidRDefault="002512F2" w:rsidP="002512F2">
            <w:pPr>
              <w:shd w:val="clear" w:color="auto" w:fill="FFFFFF"/>
              <w:jc w:val="center"/>
              <w:rPr>
                <w:rFonts w:ascii="Arial Narrow" w:hAnsi="Arial Narrow" w:cs="Times New Roman"/>
                <w:color w:val="000000"/>
              </w:rPr>
            </w:pPr>
            <w:r w:rsidRPr="002512F2">
              <w:rPr>
                <w:rFonts w:ascii="Arial Narrow" w:hAnsi="Arial Narrow" w:cs="Times New Roman"/>
                <w:color w:val="000000"/>
              </w:rPr>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7C1DD1" w:rsidRPr="002512F2" w:rsidRDefault="002512F2" w:rsidP="00670011">
            <w:pPr>
              <w:shd w:val="clear" w:color="auto" w:fill="FFFFFF"/>
              <w:rPr>
                <w:rFonts w:ascii="Arial Narrow" w:hAnsi="Arial Narrow" w:cs="Times New Roman"/>
                <w:color w:val="000000"/>
                <w:spacing w:val="-2"/>
              </w:rPr>
            </w:pPr>
            <w:r w:rsidRPr="002512F2">
              <w:rPr>
                <w:rFonts w:ascii="Arial Narrow" w:hAnsi="Arial Narrow" w:cs="Times New Roman"/>
                <w:color w:val="000000"/>
                <w:spacing w:val="-2"/>
              </w:rPr>
              <w:t xml:space="preserve">Zaświadczenia wydawane przez bank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C1DD1" w:rsidRPr="002512F2" w:rsidRDefault="002512F2" w:rsidP="00670011">
            <w:pPr>
              <w:shd w:val="clear" w:color="auto" w:fill="FFFFFF"/>
              <w:jc w:val="right"/>
              <w:rPr>
                <w:rFonts w:ascii="Arial Narrow" w:hAnsi="Arial Narrow" w:cs="Times New Roman"/>
              </w:rPr>
            </w:pPr>
            <w:r w:rsidRPr="002512F2">
              <w:rPr>
                <w:rFonts w:ascii="Arial Narrow" w:hAnsi="Arial Narrow" w:cs="Times New Roman"/>
              </w:rPr>
              <w:t>5</w:t>
            </w:r>
          </w:p>
        </w:tc>
      </w:tr>
    </w:tbl>
    <w:p w:rsidR="0069001B" w:rsidRDefault="0069001B" w:rsidP="0069001B"/>
    <w:p w:rsidR="0069001B" w:rsidRPr="00D43972" w:rsidRDefault="0069001B" w:rsidP="005B0E11">
      <w:pPr>
        <w:spacing w:after="0"/>
        <w:ind w:left="709"/>
        <w:rPr>
          <w:sz w:val="24"/>
          <w:szCs w:val="24"/>
        </w:rPr>
      </w:pPr>
    </w:p>
    <w:sectPr w:rsidR="0069001B" w:rsidRPr="00D43972" w:rsidSect="006900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5133"/>
    <w:multiLevelType w:val="hybridMultilevel"/>
    <w:tmpl w:val="B602D86C"/>
    <w:lvl w:ilvl="0" w:tplc="0415000F">
      <w:start w:val="1"/>
      <w:numFmt w:val="decimal"/>
      <w:lvlText w:val="%1."/>
      <w:lvlJc w:val="left"/>
      <w:pPr>
        <w:tabs>
          <w:tab w:val="num" w:pos="720"/>
        </w:tabs>
        <w:ind w:left="720" w:hanging="360"/>
      </w:pPr>
      <w:rPr>
        <w:rFonts w:hint="default"/>
      </w:rPr>
    </w:lvl>
    <w:lvl w:ilvl="1" w:tplc="28D2782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D37778F"/>
    <w:multiLevelType w:val="hybridMultilevel"/>
    <w:tmpl w:val="73D2A35E"/>
    <w:lvl w:ilvl="0" w:tplc="76ECAE68">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3570BF"/>
    <w:multiLevelType w:val="hybridMultilevel"/>
    <w:tmpl w:val="84B0C3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37614DE"/>
    <w:multiLevelType w:val="hybridMultilevel"/>
    <w:tmpl w:val="84B0C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DE2AEA"/>
    <w:multiLevelType w:val="hybridMultilevel"/>
    <w:tmpl w:val="01E051A2"/>
    <w:lvl w:ilvl="0" w:tplc="76ECAE68">
      <w:start w:val="1"/>
      <w:numFmt w:val="decimal"/>
      <w:lvlText w:val="%1)"/>
      <w:lvlJc w:val="left"/>
      <w:pPr>
        <w:tabs>
          <w:tab w:val="num" w:pos="1080"/>
        </w:tabs>
        <w:ind w:left="1080" w:hanging="360"/>
      </w:pPr>
      <w:rPr>
        <w:rFonts w:hint="default"/>
      </w:rPr>
    </w:lvl>
    <w:lvl w:ilvl="1" w:tplc="034CC6F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5C043FE1"/>
    <w:multiLevelType w:val="hybridMultilevel"/>
    <w:tmpl w:val="C26AF19E"/>
    <w:lvl w:ilvl="0" w:tplc="BDF4E6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397E"/>
    <w:rsid w:val="00011F38"/>
    <w:rsid w:val="000B32E5"/>
    <w:rsid w:val="000E4C8B"/>
    <w:rsid w:val="001177AA"/>
    <w:rsid w:val="00142FE4"/>
    <w:rsid w:val="00183815"/>
    <w:rsid w:val="00214CE3"/>
    <w:rsid w:val="002512F2"/>
    <w:rsid w:val="002603D1"/>
    <w:rsid w:val="00264F07"/>
    <w:rsid w:val="002E1801"/>
    <w:rsid w:val="002F397E"/>
    <w:rsid w:val="003033E6"/>
    <w:rsid w:val="00337727"/>
    <w:rsid w:val="00370E7E"/>
    <w:rsid w:val="003E50BC"/>
    <w:rsid w:val="00406041"/>
    <w:rsid w:val="00457540"/>
    <w:rsid w:val="00516F2F"/>
    <w:rsid w:val="005A6D69"/>
    <w:rsid w:val="005B0E11"/>
    <w:rsid w:val="005B7803"/>
    <w:rsid w:val="00675938"/>
    <w:rsid w:val="0069001B"/>
    <w:rsid w:val="006916B8"/>
    <w:rsid w:val="006C20C5"/>
    <w:rsid w:val="006C52E5"/>
    <w:rsid w:val="007400E5"/>
    <w:rsid w:val="00761F15"/>
    <w:rsid w:val="00796C07"/>
    <w:rsid w:val="007C1DD1"/>
    <w:rsid w:val="00845DF3"/>
    <w:rsid w:val="00893DD3"/>
    <w:rsid w:val="008E69E0"/>
    <w:rsid w:val="009B52FE"/>
    <w:rsid w:val="00A243D3"/>
    <w:rsid w:val="00A442B8"/>
    <w:rsid w:val="00AB1AF9"/>
    <w:rsid w:val="00B078F8"/>
    <w:rsid w:val="00B22BF6"/>
    <w:rsid w:val="00B8302F"/>
    <w:rsid w:val="00B94292"/>
    <w:rsid w:val="00BB6ABD"/>
    <w:rsid w:val="00C52DC2"/>
    <w:rsid w:val="00CA4D5F"/>
    <w:rsid w:val="00CF70C2"/>
    <w:rsid w:val="00D43972"/>
    <w:rsid w:val="00D539AB"/>
    <w:rsid w:val="00D77F26"/>
    <w:rsid w:val="00DB43E2"/>
    <w:rsid w:val="00F72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CA63"/>
  <w15:docId w15:val="{272D440A-9D90-4479-BFC8-5FC2C65F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97E"/>
    <w:pPr>
      <w:ind w:left="720"/>
      <w:contextualSpacing/>
    </w:pPr>
  </w:style>
  <w:style w:type="paragraph" w:styleId="Tekstdymka">
    <w:name w:val="Balloon Text"/>
    <w:basedOn w:val="Normalny"/>
    <w:link w:val="TekstdymkaZnak"/>
    <w:uiPriority w:val="99"/>
    <w:semiHidden/>
    <w:unhideWhenUsed/>
    <w:rsid w:val="00D439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972"/>
    <w:rPr>
      <w:rFonts w:ascii="Tahoma" w:hAnsi="Tahoma" w:cs="Tahoma"/>
      <w:sz w:val="16"/>
      <w:szCs w:val="16"/>
    </w:rPr>
  </w:style>
  <w:style w:type="character" w:styleId="Hipercze">
    <w:name w:val="Hyperlink"/>
    <w:basedOn w:val="Domylnaczcionkaakapitu"/>
    <w:rsid w:val="005B0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umig.lidz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971</Words>
  <Characters>5827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Wasiak</dc:creator>
  <cp:lastModifiedBy>Paulina Wiśniewska</cp:lastModifiedBy>
  <cp:revision>31</cp:revision>
  <cp:lastPrinted>2017-11-20T08:55:00Z</cp:lastPrinted>
  <dcterms:created xsi:type="dcterms:W3CDTF">2017-08-23T07:30:00Z</dcterms:created>
  <dcterms:modified xsi:type="dcterms:W3CDTF">2020-01-27T10:05:00Z</dcterms:modified>
</cp:coreProperties>
</file>