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7E" w:rsidRPr="002F397E" w:rsidRDefault="002F397E" w:rsidP="002F397E">
      <w:pPr>
        <w:spacing w:after="0"/>
        <w:jc w:val="center"/>
        <w:rPr>
          <w:sz w:val="24"/>
          <w:szCs w:val="24"/>
          <w:u w:val="single"/>
        </w:rPr>
      </w:pPr>
      <w:r w:rsidRPr="002F397E">
        <w:rPr>
          <w:sz w:val="24"/>
          <w:szCs w:val="24"/>
          <w:u w:val="single"/>
        </w:rPr>
        <w:t>Udzielenie Gminie Lidzbark długoterminowego kredytu</w:t>
      </w:r>
    </w:p>
    <w:p w:rsidR="00142FE4" w:rsidRPr="006C6FF2" w:rsidRDefault="002F397E" w:rsidP="002F397E">
      <w:pPr>
        <w:spacing w:after="0"/>
        <w:jc w:val="center"/>
        <w:rPr>
          <w:sz w:val="24"/>
          <w:szCs w:val="24"/>
          <w:u w:val="single"/>
        </w:rPr>
      </w:pPr>
      <w:r w:rsidRPr="006C6FF2">
        <w:rPr>
          <w:sz w:val="24"/>
          <w:szCs w:val="24"/>
          <w:u w:val="single"/>
        </w:rPr>
        <w:t xml:space="preserve">w wysokości </w:t>
      </w:r>
      <w:r w:rsidR="0052755C">
        <w:rPr>
          <w:sz w:val="24"/>
          <w:szCs w:val="24"/>
          <w:u w:val="single"/>
        </w:rPr>
        <w:t>4.600.000</w:t>
      </w:r>
      <w:r w:rsidRPr="006C6FF2">
        <w:rPr>
          <w:sz w:val="24"/>
          <w:szCs w:val="24"/>
          <w:u w:val="single"/>
        </w:rPr>
        <w:t xml:space="preserve"> zł na pokrycie planowanego deficytu budżetu</w:t>
      </w:r>
      <w:r w:rsidR="006C6FF2" w:rsidRPr="006C6FF2">
        <w:rPr>
          <w:sz w:val="24"/>
          <w:szCs w:val="24"/>
          <w:u w:val="single"/>
        </w:rPr>
        <w:t xml:space="preserve"> </w:t>
      </w:r>
    </w:p>
    <w:p w:rsidR="002F397E" w:rsidRDefault="002F397E" w:rsidP="002F397E">
      <w:pPr>
        <w:spacing w:after="0"/>
        <w:rPr>
          <w:sz w:val="24"/>
          <w:szCs w:val="24"/>
        </w:rPr>
      </w:pPr>
    </w:p>
    <w:p w:rsidR="006916B8" w:rsidRDefault="006916B8">
      <w:pPr>
        <w:rPr>
          <w:sz w:val="24"/>
          <w:szCs w:val="24"/>
        </w:rPr>
      </w:pPr>
      <w:bookmarkStart w:id="0" w:name="_GoBack"/>
      <w:bookmarkEnd w:id="0"/>
      <w:r>
        <w:rPr>
          <w:sz w:val="24"/>
          <w:szCs w:val="24"/>
        </w:rPr>
        <w:br w:type="page"/>
      </w:r>
    </w:p>
    <w:p w:rsidR="006916B8" w:rsidRPr="002F397E" w:rsidRDefault="006916B8" w:rsidP="006916B8">
      <w:pPr>
        <w:spacing w:after="0"/>
        <w:jc w:val="center"/>
        <w:rPr>
          <w:sz w:val="24"/>
          <w:szCs w:val="24"/>
          <w:u w:val="single"/>
        </w:rPr>
      </w:pPr>
      <w:r>
        <w:rPr>
          <w:sz w:val="24"/>
          <w:szCs w:val="24"/>
          <w:u w:val="single"/>
        </w:rPr>
        <w:lastRenderedPageBreak/>
        <w:t>Opis przedmiotu zamówienia</w:t>
      </w:r>
    </w:p>
    <w:p w:rsidR="006916B8" w:rsidRDefault="006916B8" w:rsidP="006916B8">
      <w:pPr>
        <w:spacing w:after="0"/>
        <w:rPr>
          <w:sz w:val="24"/>
          <w:szCs w:val="24"/>
        </w:rPr>
      </w:pPr>
    </w:p>
    <w:p w:rsidR="006916B8" w:rsidRDefault="006916B8" w:rsidP="006916B8">
      <w:pPr>
        <w:pStyle w:val="Akapitzlist"/>
        <w:numPr>
          <w:ilvl w:val="0"/>
          <w:numId w:val="2"/>
        </w:numPr>
        <w:spacing w:after="0"/>
        <w:rPr>
          <w:sz w:val="24"/>
          <w:szCs w:val="24"/>
        </w:rPr>
      </w:pPr>
      <w:r>
        <w:rPr>
          <w:sz w:val="24"/>
          <w:szCs w:val="24"/>
        </w:rPr>
        <w:t xml:space="preserve">Przedmiot zamówienia </w:t>
      </w:r>
    </w:p>
    <w:p w:rsidR="006916B8" w:rsidRDefault="008120B1" w:rsidP="006916B8">
      <w:pPr>
        <w:pStyle w:val="Akapitzlist"/>
        <w:spacing w:after="0"/>
        <w:ind w:left="360"/>
        <w:rPr>
          <w:sz w:val="24"/>
          <w:szCs w:val="24"/>
        </w:rPr>
      </w:pPr>
      <w:r>
        <w:rPr>
          <w:sz w:val="24"/>
          <w:szCs w:val="24"/>
        </w:rPr>
        <w:t>Przedmiotem zamówienia jest udzielenie długoterminowy kredyt złotowy</w:t>
      </w:r>
      <w:r w:rsidR="006916B8">
        <w:rPr>
          <w:sz w:val="24"/>
          <w:szCs w:val="24"/>
        </w:rPr>
        <w:t xml:space="preserve"> w wysokości </w:t>
      </w:r>
      <w:r w:rsidR="0052755C">
        <w:rPr>
          <w:sz w:val="24"/>
          <w:szCs w:val="24"/>
        </w:rPr>
        <w:t>4.600.000</w:t>
      </w:r>
      <w:r w:rsidR="006916B8">
        <w:rPr>
          <w:sz w:val="24"/>
          <w:szCs w:val="24"/>
        </w:rPr>
        <w:t xml:space="preserve"> zł na pokrycie planowanego deficytu budżetu. Wysokość udzielonego kredytu</w:t>
      </w:r>
      <w:r w:rsidR="002B2397">
        <w:rPr>
          <w:sz w:val="24"/>
          <w:szCs w:val="24"/>
        </w:rPr>
        <w:t xml:space="preserve"> </w:t>
      </w:r>
      <w:r w:rsidR="0052755C">
        <w:rPr>
          <w:sz w:val="24"/>
          <w:szCs w:val="24"/>
        </w:rPr>
        <w:t xml:space="preserve">4.600.000 </w:t>
      </w:r>
      <w:r w:rsidR="006916B8">
        <w:rPr>
          <w:sz w:val="24"/>
          <w:szCs w:val="24"/>
        </w:rPr>
        <w:t xml:space="preserve">zł uruchomionego </w:t>
      </w:r>
      <w:r w:rsidR="006C6FF2">
        <w:rPr>
          <w:sz w:val="24"/>
          <w:szCs w:val="24"/>
        </w:rPr>
        <w:t xml:space="preserve">na wniosek </w:t>
      </w:r>
      <w:r w:rsidR="006916B8">
        <w:rPr>
          <w:sz w:val="24"/>
          <w:szCs w:val="24"/>
        </w:rPr>
        <w:t>w transzach do dnia 1</w:t>
      </w:r>
      <w:r w:rsidR="002B2397">
        <w:rPr>
          <w:sz w:val="24"/>
          <w:szCs w:val="24"/>
        </w:rPr>
        <w:t>5</w:t>
      </w:r>
      <w:r w:rsidR="006916B8">
        <w:rPr>
          <w:sz w:val="24"/>
          <w:szCs w:val="24"/>
        </w:rPr>
        <w:t>.12.201</w:t>
      </w:r>
      <w:r w:rsidR="0052755C">
        <w:rPr>
          <w:sz w:val="24"/>
          <w:szCs w:val="24"/>
        </w:rPr>
        <w:t>9</w:t>
      </w:r>
      <w:r w:rsidR="006916B8">
        <w:rPr>
          <w:sz w:val="24"/>
          <w:szCs w:val="24"/>
        </w:rPr>
        <w:t xml:space="preserve"> r. przekazywanych na konto bankowe kredytobiorcy – zamawiającego – BS w Działdowie z/s w Lidzbarku 83 8215 0006 2001 0000 0941 0032. </w:t>
      </w:r>
    </w:p>
    <w:p w:rsidR="008120B1" w:rsidRDefault="008120B1" w:rsidP="006916B8">
      <w:pPr>
        <w:pStyle w:val="Akapitzlist"/>
        <w:spacing w:after="0"/>
        <w:ind w:left="360"/>
        <w:rPr>
          <w:sz w:val="24"/>
          <w:szCs w:val="24"/>
        </w:rPr>
      </w:pPr>
      <w:r>
        <w:rPr>
          <w:sz w:val="24"/>
          <w:szCs w:val="24"/>
        </w:rPr>
        <w:t>Zamawiającemu przysługuje prawo niewykorzystania pełnej kwoty kredytu oraz regulowania wysokości i ilości transz stosownie do potrzeb zamawiającego. Umowa z bankiem będzie podpisana na pełną wielkoś</w:t>
      </w:r>
      <w:r w:rsidR="00F90DD2">
        <w:rPr>
          <w:sz w:val="24"/>
          <w:szCs w:val="24"/>
        </w:rPr>
        <w:t>ć</w:t>
      </w:r>
      <w:r>
        <w:rPr>
          <w:sz w:val="24"/>
          <w:szCs w:val="24"/>
        </w:rPr>
        <w:t xml:space="preserve"> kredytu podaną w opisie przedmiotu zamówienia.</w:t>
      </w:r>
    </w:p>
    <w:p w:rsidR="008120B1" w:rsidRDefault="008120B1" w:rsidP="006916B8">
      <w:pPr>
        <w:pStyle w:val="Akapitzlist"/>
        <w:spacing w:after="0"/>
        <w:ind w:left="360"/>
        <w:rPr>
          <w:sz w:val="24"/>
          <w:szCs w:val="24"/>
        </w:rPr>
      </w:pPr>
      <w:r>
        <w:rPr>
          <w:sz w:val="24"/>
          <w:szCs w:val="24"/>
        </w:rPr>
        <w:t>Po wyliczeniu ostatecznej wielkości zaciągniętego kredytu zmiana umowy nastąpi w postaci aneksu, w którym zostanie ustalony na nowo harmonogram spłat uwzględniający ostateczną wielkość kredytu. Zmiana harmonogramu nie spowoduje wydłużenia okresu kredytowania tj. nie przekroczy 20.12.2029 r. Zmiana wielkości kredytu nie może pociągać za sobą zmianę warunków oprocentowania oraz dodatkowych opłat.</w:t>
      </w:r>
    </w:p>
    <w:p w:rsidR="006916B8" w:rsidRDefault="006916B8" w:rsidP="006916B8">
      <w:pPr>
        <w:pStyle w:val="Akapitzlist"/>
        <w:spacing w:after="0"/>
        <w:ind w:left="360"/>
        <w:rPr>
          <w:sz w:val="24"/>
          <w:szCs w:val="24"/>
        </w:rPr>
      </w:pPr>
      <w:r>
        <w:rPr>
          <w:sz w:val="24"/>
          <w:szCs w:val="24"/>
        </w:rPr>
        <w:t xml:space="preserve">Na cenę brutto oferty składają się opłaty, odsetki i </w:t>
      </w:r>
      <w:r w:rsidR="00264F07">
        <w:rPr>
          <w:sz w:val="24"/>
          <w:szCs w:val="24"/>
        </w:rPr>
        <w:t xml:space="preserve">inne podobne koszty związane z </w:t>
      </w:r>
      <w:r>
        <w:rPr>
          <w:sz w:val="24"/>
          <w:szCs w:val="24"/>
        </w:rPr>
        <w:t xml:space="preserve"> udzieleniem zamawiającemu kredytu bankowego.</w:t>
      </w:r>
    </w:p>
    <w:p w:rsidR="00264F07" w:rsidRDefault="00264F07" w:rsidP="006916B8">
      <w:pPr>
        <w:pStyle w:val="Akapitzlist"/>
        <w:spacing w:after="0"/>
        <w:ind w:left="360"/>
        <w:rPr>
          <w:sz w:val="24"/>
          <w:szCs w:val="24"/>
        </w:rPr>
      </w:pPr>
    </w:p>
    <w:p w:rsidR="006916B8" w:rsidRDefault="006916B8" w:rsidP="006916B8">
      <w:pPr>
        <w:pStyle w:val="Akapitzlist"/>
        <w:numPr>
          <w:ilvl w:val="0"/>
          <w:numId w:val="2"/>
        </w:numPr>
        <w:spacing w:after="0"/>
        <w:rPr>
          <w:sz w:val="24"/>
          <w:szCs w:val="24"/>
        </w:rPr>
      </w:pPr>
      <w:r>
        <w:rPr>
          <w:sz w:val="24"/>
          <w:szCs w:val="24"/>
        </w:rPr>
        <w:t>Karencja</w:t>
      </w:r>
    </w:p>
    <w:p w:rsidR="006916B8" w:rsidRDefault="006916B8" w:rsidP="006916B8">
      <w:pPr>
        <w:pStyle w:val="Akapitzlist"/>
        <w:spacing w:after="0"/>
        <w:ind w:left="360"/>
        <w:rPr>
          <w:sz w:val="24"/>
          <w:szCs w:val="24"/>
        </w:rPr>
      </w:pPr>
      <w:r>
        <w:rPr>
          <w:sz w:val="24"/>
          <w:szCs w:val="24"/>
        </w:rPr>
        <w:t xml:space="preserve">Karencja w spłacie kredytu do dnia </w:t>
      </w:r>
      <w:r w:rsidR="002B2397">
        <w:rPr>
          <w:sz w:val="24"/>
          <w:szCs w:val="24"/>
        </w:rPr>
        <w:t>20 marca 20</w:t>
      </w:r>
      <w:r w:rsidR="0052755C">
        <w:rPr>
          <w:sz w:val="24"/>
          <w:szCs w:val="24"/>
        </w:rPr>
        <w:t>20</w:t>
      </w:r>
      <w:r w:rsidR="002B2397">
        <w:rPr>
          <w:sz w:val="24"/>
          <w:szCs w:val="24"/>
        </w:rPr>
        <w:t xml:space="preserve"> </w:t>
      </w:r>
      <w:r>
        <w:rPr>
          <w:sz w:val="24"/>
          <w:szCs w:val="24"/>
        </w:rPr>
        <w:t xml:space="preserve">r. </w:t>
      </w:r>
    </w:p>
    <w:p w:rsidR="00264F07" w:rsidRDefault="00264F07" w:rsidP="006916B8">
      <w:pPr>
        <w:pStyle w:val="Akapitzlist"/>
        <w:spacing w:after="0"/>
        <w:ind w:left="360"/>
        <w:rPr>
          <w:sz w:val="24"/>
          <w:szCs w:val="24"/>
        </w:rPr>
      </w:pPr>
    </w:p>
    <w:p w:rsidR="006916B8" w:rsidRDefault="006916B8" w:rsidP="006916B8">
      <w:pPr>
        <w:pStyle w:val="Akapitzlist"/>
        <w:numPr>
          <w:ilvl w:val="0"/>
          <w:numId w:val="2"/>
        </w:numPr>
        <w:spacing w:after="0"/>
        <w:rPr>
          <w:sz w:val="24"/>
          <w:szCs w:val="24"/>
        </w:rPr>
      </w:pPr>
      <w:r>
        <w:rPr>
          <w:sz w:val="24"/>
          <w:szCs w:val="24"/>
        </w:rPr>
        <w:t>Warunki spłaty kredytu</w:t>
      </w:r>
    </w:p>
    <w:p w:rsidR="006916B8" w:rsidRDefault="006916B8" w:rsidP="006916B8">
      <w:pPr>
        <w:pStyle w:val="Akapitzlist"/>
        <w:spacing w:after="0"/>
        <w:ind w:left="360"/>
        <w:rPr>
          <w:sz w:val="24"/>
          <w:szCs w:val="24"/>
        </w:rPr>
      </w:pPr>
      <w:r>
        <w:rPr>
          <w:sz w:val="24"/>
          <w:szCs w:val="24"/>
        </w:rPr>
        <w:t xml:space="preserve">Raty udzielonego kredytu płatne po </w:t>
      </w:r>
      <w:r w:rsidR="007400E5">
        <w:rPr>
          <w:sz w:val="24"/>
          <w:szCs w:val="24"/>
        </w:rPr>
        <w:t>upływie karencji, w następujących terminach i wysokościach:</w:t>
      </w:r>
    </w:p>
    <w:tbl>
      <w:tblPr>
        <w:tblW w:w="9116" w:type="dxa"/>
        <w:tblInd w:w="-200" w:type="dxa"/>
        <w:tblCellMar>
          <w:left w:w="70" w:type="dxa"/>
          <w:right w:w="70" w:type="dxa"/>
        </w:tblCellMar>
        <w:tblLook w:val="04A0" w:firstRow="1" w:lastRow="0" w:firstColumn="1" w:lastColumn="0" w:noHBand="0" w:noVBand="1"/>
      </w:tblPr>
      <w:tblGrid>
        <w:gridCol w:w="2113"/>
        <w:gridCol w:w="460"/>
        <w:gridCol w:w="1241"/>
        <w:gridCol w:w="3402"/>
        <w:gridCol w:w="520"/>
        <w:gridCol w:w="1380"/>
      </w:tblGrid>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20.03.2020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DC20E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w:t>
            </w:r>
            <w:r w:rsidR="002B462D" w:rsidRPr="002B462D">
              <w:rPr>
                <w:rFonts w:ascii="Calibri" w:eastAsia="Times New Roman" w:hAnsi="Calibri" w:cs="Times New Roman"/>
                <w:color w:val="000000"/>
                <w:sz w:val="24"/>
                <w:szCs w:val="24"/>
                <w:lang w:eastAsia="pl-PL"/>
              </w:rPr>
              <w:t xml:space="preserve"> </w:t>
            </w:r>
            <w:r>
              <w:rPr>
                <w:rFonts w:ascii="Calibri" w:eastAsia="Times New Roman" w:hAnsi="Calibri" w:cs="Times New Roman"/>
                <w:color w:val="000000"/>
                <w:sz w:val="24"/>
                <w:szCs w:val="24"/>
                <w:lang w:eastAsia="pl-PL"/>
              </w:rPr>
              <w:t>5</w:t>
            </w:r>
            <w:r w:rsidR="002B462D" w:rsidRPr="002B462D">
              <w:rPr>
                <w:rFonts w:ascii="Calibri" w:eastAsia="Times New Roman" w:hAnsi="Calibri" w:cs="Times New Roman"/>
                <w:color w:val="000000"/>
                <w:sz w:val="24"/>
                <w:szCs w:val="24"/>
                <w:lang w:eastAsia="pl-PL"/>
              </w:rPr>
              <w:t>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20.06.2020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20.09.2020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20.12.2020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20.03.2021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w:t>
            </w:r>
            <w:r w:rsidR="002B462D" w:rsidRPr="002B462D">
              <w:rPr>
                <w:rFonts w:ascii="Calibri" w:eastAsia="Times New Roman" w:hAnsi="Calibri" w:cs="Times New Roman"/>
                <w:color w:val="000000"/>
                <w:sz w:val="24"/>
                <w:szCs w:val="24"/>
                <w:lang w:eastAsia="pl-PL"/>
              </w:rPr>
              <w:t xml:space="preserve"> 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20.06.2021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20.09.2021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20.12.2021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20.03.2022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20.06.2022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20.09.2022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20.12.2022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20.03.2023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20.06.2023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20.09.2023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20.12.2023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20.03.2024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20.06.2024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20.09.2024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20.12.2024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75 </w:t>
            </w:r>
            <w:r w:rsidRPr="002B462D">
              <w:rPr>
                <w:rFonts w:ascii="Calibri" w:eastAsia="Times New Roman" w:hAnsi="Calibri" w:cs="Times New Roman"/>
                <w:color w:val="000000"/>
                <w:sz w:val="24"/>
                <w:szCs w:val="24"/>
                <w:lang w:eastAsia="pl-PL"/>
              </w:rPr>
              <w:t xml:space="preserve">000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20.03.2025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w:t>
            </w:r>
            <w:r w:rsidR="002B462D" w:rsidRPr="002B462D">
              <w:rPr>
                <w:rFonts w:ascii="Calibri" w:eastAsia="Times New Roman" w:hAnsi="Calibri" w:cs="Times New Roman"/>
                <w:color w:val="000000"/>
                <w:sz w:val="24"/>
                <w:szCs w:val="24"/>
                <w:lang w:eastAsia="pl-PL"/>
              </w:rPr>
              <w:t>50 000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20.06.2025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w:t>
            </w:r>
            <w:r w:rsidR="002B462D" w:rsidRPr="002B462D">
              <w:rPr>
                <w:rFonts w:ascii="Calibri" w:eastAsia="Times New Roman" w:hAnsi="Calibri" w:cs="Times New Roman"/>
                <w:color w:val="000000"/>
                <w:sz w:val="24"/>
                <w:szCs w:val="24"/>
                <w:lang w:eastAsia="pl-PL"/>
              </w:rPr>
              <w:t>50 000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20.09.2025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w:t>
            </w:r>
            <w:r w:rsidR="002B462D" w:rsidRPr="002B462D">
              <w:rPr>
                <w:rFonts w:ascii="Calibri" w:eastAsia="Times New Roman" w:hAnsi="Calibri" w:cs="Times New Roman"/>
                <w:color w:val="000000"/>
                <w:sz w:val="24"/>
                <w:szCs w:val="24"/>
                <w:lang w:eastAsia="pl-PL"/>
              </w:rPr>
              <w:t>50 000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20.12.2025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w:t>
            </w:r>
            <w:r w:rsidR="002B462D" w:rsidRPr="002B462D">
              <w:rPr>
                <w:rFonts w:ascii="Calibri" w:eastAsia="Times New Roman" w:hAnsi="Calibri" w:cs="Times New Roman"/>
                <w:color w:val="000000"/>
                <w:sz w:val="24"/>
                <w:szCs w:val="24"/>
                <w:lang w:eastAsia="pl-PL"/>
              </w:rPr>
              <w:t>50 000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20.03.2026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3A7F8D">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w:t>
            </w:r>
            <w:r w:rsidR="003A7F8D">
              <w:rPr>
                <w:rFonts w:ascii="Calibri" w:eastAsia="Times New Roman" w:hAnsi="Calibri" w:cs="Times New Roman"/>
                <w:color w:val="000000"/>
                <w:sz w:val="24"/>
                <w:szCs w:val="24"/>
                <w:lang w:eastAsia="pl-PL"/>
              </w:rPr>
              <w:t>85</w:t>
            </w:r>
            <w:r w:rsidR="002B462D" w:rsidRPr="002B462D">
              <w:rPr>
                <w:rFonts w:ascii="Calibri" w:eastAsia="Times New Roman" w:hAnsi="Calibri" w:cs="Times New Roman"/>
                <w:color w:val="000000"/>
                <w:sz w:val="24"/>
                <w:szCs w:val="24"/>
                <w:lang w:eastAsia="pl-PL"/>
              </w:rPr>
              <w:t xml:space="preserve"> 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20.06.2026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20.09.2026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20.12.2026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20.03.2027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20.06.2027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20.09.2027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20.12.2027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lastRenderedPageBreak/>
              <w:t xml:space="preserve">- do 20.03.2028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20.06.2028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20.09.2028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20.12.2028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3A7F8D"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185</w:t>
            </w:r>
            <w:r w:rsidRPr="002B462D">
              <w:rPr>
                <w:rFonts w:ascii="Calibri" w:eastAsia="Times New Roman" w:hAnsi="Calibri" w:cs="Times New Roman"/>
                <w:color w:val="000000"/>
                <w:sz w:val="24"/>
                <w:szCs w:val="24"/>
                <w:lang w:eastAsia="pl-PL"/>
              </w:rPr>
              <w:t xml:space="preserve"> </w:t>
            </w:r>
            <w:r w:rsidR="002B462D" w:rsidRPr="002B462D">
              <w:rPr>
                <w:rFonts w:ascii="Calibri" w:eastAsia="Times New Roman" w:hAnsi="Calibri" w:cs="Times New Roman"/>
                <w:color w:val="000000"/>
                <w:sz w:val="24"/>
                <w:szCs w:val="24"/>
                <w:lang w:eastAsia="pl-PL"/>
              </w:rPr>
              <w:t>000 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20.03.2029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DC20E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137</w:t>
            </w:r>
            <w:r w:rsidR="002B462D" w:rsidRPr="002B462D">
              <w:rPr>
                <w:rFonts w:ascii="Calibri" w:eastAsia="Times New Roman" w:hAnsi="Calibri" w:cs="Times New Roman"/>
                <w:color w:val="000000"/>
                <w:sz w:val="24"/>
                <w:szCs w:val="24"/>
                <w:lang w:eastAsia="pl-PL"/>
              </w:rPr>
              <w:t xml:space="preserve"> </w:t>
            </w:r>
            <w:r>
              <w:rPr>
                <w:rFonts w:ascii="Calibri" w:eastAsia="Times New Roman" w:hAnsi="Calibri" w:cs="Times New Roman"/>
                <w:color w:val="000000"/>
                <w:sz w:val="24"/>
                <w:szCs w:val="24"/>
                <w:lang w:eastAsia="pl-PL"/>
              </w:rPr>
              <w:t>5</w:t>
            </w:r>
            <w:r w:rsidR="002B462D" w:rsidRPr="002B462D">
              <w:rPr>
                <w:rFonts w:ascii="Calibri" w:eastAsia="Times New Roman" w:hAnsi="Calibri" w:cs="Times New Roman"/>
                <w:color w:val="000000"/>
                <w:sz w:val="24"/>
                <w:szCs w:val="24"/>
                <w:lang w:eastAsia="pl-PL"/>
              </w:rPr>
              <w:t>00 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do 20.06.2029 r. </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137 5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r>
      <w:tr w:rsidR="002B462D" w:rsidRPr="002B462D" w:rsidTr="007611A6">
        <w:trPr>
          <w:trHeight w:val="315"/>
        </w:trPr>
        <w:tc>
          <w:tcPr>
            <w:tcW w:w="2113"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 xml:space="preserve">- do 20.09.2029 r. </w:t>
            </w:r>
          </w:p>
        </w:tc>
        <w:tc>
          <w:tcPr>
            <w:tcW w:w="46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241"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137 5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c>
          <w:tcPr>
            <w:tcW w:w="3402"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jc w:val="right"/>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do 20.12.2029 r.</w:t>
            </w:r>
          </w:p>
        </w:tc>
        <w:tc>
          <w:tcPr>
            <w:tcW w:w="520" w:type="dxa"/>
            <w:tcBorders>
              <w:top w:val="nil"/>
              <w:left w:val="nil"/>
              <w:bottom w:val="nil"/>
              <w:right w:val="nil"/>
            </w:tcBorders>
            <w:shd w:val="clear" w:color="auto" w:fill="auto"/>
            <w:noWrap/>
            <w:vAlign w:val="center"/>
            <w:hideMark/>
          </w:tcPr>
          <w:p w:rsidR="002B462D" w:rsidRPr="002B462D" w:rsidRDefault="002B462D" w:rsidP="007611A6">
            <w:pPr>
              <w:spacing w:after="0" w:line="240" w:lineRule="auto"/>
              <w:ind w:firstLineChars="24" w:firstLine="58"/>
              <w:rPr>
                <w:rFonts w:ascii="Calibri" w:eastAsia="Times New Roman" w:hAnsi="Calibri" w:cs="Times New Roman"/>
                <w:color w:val="000000"/>
                <w:sz w:val="24"/>
                <w:szCs w:val="24"/>
                <w:lang w:eastAsia="pl-PL"/>
              </w:rPr>
            </w:pPr>
            <w:r w:rsidRPr="002B462D">
              <w:rPr>
                <w:rFonts w:ascii="Calibri" w:eastAsia="Times New Roman" w:hAnsi="Calibri" w:cs="Times New Roman"/>
                <w:color w:val="000000"/>
                <w:sz w:val="24"/>
                <w:szCs w:val="24"/>
                <w:lang w:eastAsia="pl-PL"/>
              </w:rPr>
              <w:t>-</w:t>
            </w:r>
          </w:p>
        </w:tc>
        <w:tc>
          <w:tcPr>
            <w:tcW w:w="1380" w:type="dxa"/>
            <w:tcBorders>
              <w:top w:val="nil"/>
              <w:left w:val="nil"/>
              <w:bottom w:val="nil"/>
              <w:right w:val="nil"/>
            </w:tcBorders>
            <w:shd w:val="clear" w:color="auto" w:fill="auto"/>
            <w:noWrap/>
            <w:vAlign w:val="center"/>
            <w:hideMark/>
          </w:tcPr>
          <w:p w:rsidR="002B462D" w:rsidRPr="002B462D" w:rsidRDefault="00DC20E6" w:rsidP="007611A6">
            <w:pPr>
              <w:spacing w:after="0" w:line="240" w:lineRule="auto"/>
              <w:ind w:firstLineChars="24" w:firstLine="58"/>
              <w:jc w:val="right"/>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137 5</w:t>
            </w:r>
            <w:r w:rsidRPr="002B462D">
              <w:rPr>
                <w:rFonts w:ascii="Calibri" w:eastAsia="Times New Roman" w:hAnsi="Calibri" w:cs="Times New Roman"/>
                <w:color w:val="000000"/>
                <w:sz w:val="24"/>
                <w:szCs w:val="24"/>
                <w:lang w:eastAsia="pl-PL"/>
              </w:rPr>
              <w:t xml:space="preserve">00 </w:t>
            </w:r>
            <w:r w:rsidR="002B462D" w:rsidRPr="002B462D">
              <w:rPr>
                <w:rFonts w:ascii="Calibri" w:eastAsia="Times New Roman" w:hAnsi="Calibri" w:cs="Times New Roman"/>
                <w:color w:val="000000"/>
                <w:sz w:val="24"/>
                <w:szCs w:val="24"/>
                <w:lang w:eastAsia="pl-PL"/>
              </w:rPr>
              <w:t>zł</w:t>
            </w:r>
          </w:p>
        </w:tc>
      </w:tr>
    </w:tbl>
    <w:p w:rsidR="00264F07" w:rsidRDefault="00264F07" w:rsidP="007400E5">
      <w:pPr>
        <w:pStyle w:val="Akapitzlist"/>
        <w:tabs>
          <w:tab w:val="left" w:pos="2410"/>
          <w:tab w:val="left" w:pos="3969"/>
          <w:tab w:val="left" w:pos="5812"/>
        </w:tabs>
        <w:spacing w:after="0"/>
        <w:ind w:left="360"/>
        <w:rPr>
          <w:sz w:val="24"/>
          <w:szCs w:val="24"/>
        </w:rPr>
      </w:pPr>
    </w:p>
    <w:p w:rsidR="006916B8" w:rsidRDefault="007400E5" w:rsidP="006916B8">
      <w:pPr>
        <w:pStyle w:val="Akapitzlist"/>
        <w:numPr>
          <w:ilvl w:val="0"/>
          <w:numId w:val="2"/>
        </w:numPr>
        <w:spacing w:after="0"/>
        <w:rPr>
          <w:sz w:val="24"/>
          <w:szCs w:val="24"/>
        </w:rPr>
      </w:pPr>
      <w:r>
        <w:rPr>
          <w:sz w:val="24"/>
          <w:szCs w:val="24"/>
        </w:rPr>
        <w:t>Spłatę odsetek w okresach miesięcznych w ostatnim dniu roboczym miesiąca od faktyczn</w:t>
      </w:r>
      <w:r w:rsidR="006C52E5">
        <w:rPr>
          <w:sz w:val="24"/>
          <w:szCs w:val="24"/>
        </w:rPr>
        <w:t>i</w:t>
      </w:r>
      <w:r>
        <w:rPr>
          <w:sz w:val="24"/>
          <w:szCs w:val="24"/>
        </w:rPr>
        <w:t xml:space="preserve">e wykorzystanej kwoty kredytu począwszy od momentu uruchomienia transzy kredytu pod warunkiem otrzymania pisemnego zawiadomienia z </w:t>
      </w:r>
      <w:r w:rsidR="00D77F26">
        <w:rPr>
          <w:sz w:val="24"/>
          <w:szCs w:val="24"/>
        </w:rPr>
        <w:t>Banku kwoty</w:t>
      </w:r>
      <w:r w:rsidR="00796C07">
        <w:rPr>
          <w:sz w:val="24"/>
          <w:szCs w:val="24"/>
        </w:rPr>
        <w:t xml:space="preserve"> odsetek z wyprzedzeniem siedmiodniowym.</w:t>
      </w:r>
    </w:p>
    <w:p w:rsidR="00796C07" w:rsidRDefault="00796C07" w:rsidP="00796C07">
      <w:pPr>
        <w:pStyle w:val="Akapitzlist"/>
        <w:spacing w:after="0"/>
        <w:ind w:left="360"/>
        <w:rPr>
          <w:sz w:val="24"/>
          <w:szCs w:val="24"/>
        </w:rPr>
      </w:pPr>
      <w:r>
        <w:rPr>
          <w:sz w:val="24"/>
          <w:szCs w:val="24"/>
        </w:rPr>
        <w:t>Oprocentowanie kredytu ustala się w wysokości odpowiadającej stawce WIBOR 3M na ostatni dzień miesiąca poprzedzającego dzień podpisania umowy. Przy naliczeniu odsetek za każdy kolejny okres odsetkowy Bank jest zobowiązany zastosować stawkę WIBOR 3M z ostatniego dnia miesiąca poprzedzającego okres obrachunkowy.</w:t>
      </w:r>
    </w:p>
    <w:p w:rsidR="00264F07" w:rsidRDefault="00264F07" w:rsidP="00796C07">
      <w:pPr>
        <w:pStyle w:val="Akapitzlist"/>
        <w:spacing w:after="0"/>
        <w:ind w:left="360"/>
        <w:rPr>
          <w:sz w:val="24"/>
          <w:szCs w:val="24"/>
        </w:rPr>
      </w:pPr>
    </w:p>
    <w:p w:rsidR="00796C07" w:rsidRDefault="00796C07" w:rsidP="006916B8">
      <w:pPr>
        <w:pStyle w:val="Akapitzlist"/>
        <w:numPr>
          <w:ilvl w:val="0"/>
          <w:numId w:val="2"/>
        </w:numPr>
        <w:spacing w:after="0"/>
        <w:rPr>
          <w:sz w:val="24"/>
          <w:szCs w:val="24"/>
        </w:rPr>
      </w:pPr>
      <w:r>
        <w:rPr>
          <w:sz w:val="24"/>
          <w:szCs w:val="24"/>
        </w:rPr>
        <w:t>Wcześniejsza spłata kredytu bez żadnych konsekwencji finansowych dla kredytobiorcy.</w:t>
      </w:r>
    </w:p>
    <w:p w:rsidR="00264F07" w:rsidRDefault="00264F07" w:rsidP="00264F07">
      <w:pPr>
        <w:pStyle w:val="Akapitzlist"/>
        <w:spacing w:after="0"/>
        <w:ind w:left="360"/>
        <w:rPr>
          <w:sz w:val="24"/>
          <w:szCs w:val="24"/>
        </w:rPr>
      </w:pPr>
    </w:p>
    <w:p w:rsidR="00796C07" w:rsidRDefault="00796C07" w:rsidP="006916B8">
      <w:pPr>
        <w:pStyle w:val="Akapitzlist"/>
        <w:numPr>
          <w:ilvl w:val="0"/>
          <w:numId w:val="2"/>
        </w:numPr>
        <w:spacing w:after="0"/>
        <w:rPr>
          <w:sz w:val="24"/>
          <w:szCs w:val="24"/>
        </w:rPr>
      </w:pPr>
      <w:r>
        <w:rPr>
          <w:sz w:val="24"/>
          <w:szCs w:val="24"/>
        </w:rPr>
        <w:t xml:space="preserve">Możliwość rezygnacji z uruchomienia całości lub części kredytu bez dodatkowych prowizji i opłat. </w:t>
      </w:r>
    </w:p>
    <w:p w:rsidR="00264F07" w:rsidRPr="00264F07" w:rsidRDefault="00264F07" w:rsidP="00264F07">
      <w:pPr>
        <w:pStyle w:val="Akapitzlist"/>
        <w:rPr>
          <w:sz w:val="24"/>
          <w:szCs w:val="24"/>
        </w:rPr>
      </w:pPr>
    </w:p>
    <w:p w:rsidR="00796C07" w:rsidRDefault="00796C07" w:rsidP="006916B8">
      <w:pPr>
        <w:pStyle w:val="Akapitzlist"/>
        <w:numPr>
          <w:ilvl w:val="0"/>
          <w:numId w:val="2"/>
        </w:numPr>
        <w:spacing w:after="0"/>
        <w:rPr>
          <w:sz w:val="24"/>
          <w:szCs w:val="24"/>
        </w:rPr>
      </w:pPr>
      <w:r>
        <w:rPr>
          <w:sz w:val="24"/>
          <w:szCs w:val="24"/>
        </w:rPr>
        <w:t>Zabezpieczenie</w:t>
      </w:r>
      <w:r w:rsidR="006C52E5">
        <w:rPr>
          <w:sz w:val="24"/>
          <w:szCs w:val="24"/>
        </w:rPr>
        <w:t>m</w:t>
      </w:r>
      <w:r>
        <w:rPr>
          <w:sz w:val="24"/>
          <w:szCs w:val="24"/>
        </w:rPr>
        <w:t xml:space="preserve"> kredytu jest weksel in blanco</w:t>
      </w:r>
      <w:r w:rsidR="006C52E5">
        <w:rPr>
          <w:sz w:val="24"/>
          <w:szCs w:val="24"/>
        </w:rPr>
        <w:t xml:space="preserve"> wraz z deklaracją wekslową</w:t>
      </w:r>
      <w:r>
        <w:rPr>
          <w:sz w:val="24"/>
          <w:szCs w:val="24"/>
        </w:rPr>
        <w:t>.</w:t>
      </w:r>
    </w:p>
    <w:p w:rsidR="00264F07" w:rsidRPr="00264F07" w:rsidRDefault="00264F07" w:rsidP="00264F07">
      <w:pPr>
        <w:pStyle w:val="Akapitzlist"/>
        <w:rPr>
          <w:sz w:val="24"/>
          <w:szCs w:val="24"/>
        </w:rPr>
      </w:pPr>
    </w:p>
    <w:p w:rsidR="00796C07" w:rsidRDefault="00796C07" w:rsidP="006916B8">
      <w:pPr>
        <w:pStyle w:val="Akapitzlist"/>
        <w:numPr>
          <w:ilvl w:val="0"/>
          <w:numId w:val="2"/>
        </w:numPr>
        <w:spacing w:after="0"/>
        <w:rPr>
          <w:sz w:val="24"/>
          <w:szCs w:val="24"/>
        </w:rPr>
      </w:pPr>
      <w:r>
        <w:rPr>
          <w:sz w:val="24"/>
          <w:szCs w:val="24"/>
        </w:rPr>
        <w:t>Oprocentowanie zmienne wg stopy WIBOR 3M powiększonej o marżę banku.</w:t>
      </w:r>
    </w:p>
    <w:p w:rsidR="00796C07" w:rsidRDefault="00796C07" w:rsidP="00796C07">
      <w:pPr>
        <w:pStyle w:val="Akapitzlist"/>
        <w:spacing w:after="0"/>
        <w:ind w:left="360"/>
        <w:rPr>
          <w:sz w:val="24"/>
          <w:szCs w:val="24"/>
        </w:rPr>
      </w:pPr>
      <w:r>
        <w:rPr>
          <w:sz w:val="24"/>
          <w:szCs w:val="24"/>
        </w:rPr>
        <w:t>O wysokości oprocentowania oraz o zmianie oprocentowania udzielający kredytu powiadamia kredytobiorcę pisemnie.</w:t>
      </w:r>
    </w:p>
    <w:p w:rsidR="007611A6" w:rsidRDefault="00796C07" w:rsidP="007611A6">
      <w:pPr>
        <w:pStyle w:val="Akapitzlist"/>
        <w:spacing w:after="0"/>
        <w:ind w:left="360"/>
        <w:rPr>
          <w:sz w:val="24"/>
          <w:szCs w:val="24"/>
        </w:rPr>
      </w:pPr>
      <w:r>
        <w:rPr>
          <w:sz w:val="24"/>
          <w:szCs w:val="24"/>
        </w:rPr>
        <w:t>Poza kwestiami określonymi w ofercie, wykonawc</w:t>
      </w:r>
      <w:r w:rsidR="00264F07">
        <w:rPr>
          <w:sz w:val="24"/>
          <w:szCs w:val="24"/>
        </w:rPr>
        <w:t>a</w:t>
      </w:r>
      <w:r>
        <w:rPr>
          <w:sz w:val="24"/>
          <w:szCs w:val="24"/>
        </w:rPr>
        <w:t xml:space="preserve"> nie pobiera żadnych dodatkowych opłat. W celu złożenia oferty należy przyjąć WIBOR -3M na </w:t>
      </w:r>
      <w:r w:rsidR="00E1704B">
        <w:rPr>
          <w:sz w:val="24"/>
          <w:szCs w:val="24"/>
        </w:rPr>
        <w:t>ostatni dzień miesiąca poprzedzającego miesiąc złożenia oferty</w:t>
      </w:r>
      <w:r>
        <w:rPr>
          <w:sz w:val="24"/>
          <w:szCs w:val="24"/>
        </w:rPr>
        <w:t xml:space="preserve"> przy założeniu uruchomienia kredytu w transzach </w:t>
      </w:r>
      <w:r w:rsidRPr="00796C07">
        <w:rPr>
          <w:sz w:val="24"/>
          <w:szCs w:val="24"/>
        </w:rPr>
        <w:t xml:space="preserve"> </w:t>
      </w:r>
    </w:p>
    <w:p w:rsidR="00AD05C1" w:rsidRDefault="00E1704B" w:rsidP="003A7F8D">
      <w:pPr>
        <w:pStyle w:val="Akapitzlist"/>
        <w:spacing w:after="0"/>
        <w:ind w:left="360"/>
        <w:rPr>
          <w:sz w:val="24"/>
          <w:szCs w:val="24"/>
        </w:rPr>
      </w:pPr>
      <w:r>
        <w:rPr>
          <w:sz w:val="24"/>
          <w:szCs w:val="24"/>
        </w:rPr>
        <w:t xml:space="preserve">do dnia </w:t>
      </w:r>
      <w:r w:rsidR="003A7F8D">
        <w:rPr>
          <w:sz w:val="24"/>
          <w:szCs w:val="24"/>
        </w:rPr>
        <w:t>1</w:t>
      </w:r>
      <w:r w:rsidR="007611A6">
        <w:rPr>
          <w:sz w:val="24"/>
          <w:szCs w:val="24"/>
        </w:rPr>
        <w:t xml:space="preserve">5 </w:t>
      </w:r>
      <w:r w:rsidR="00B701B3">
        <w:rPr>
          <w:sz w:val="24"/>
          <w:szCs w:val="24"/>
        </w:rPr>
        <w:t>września</w:t>
      </w:r>
      <w:r w:rsidR="007611A6">
        <w:rPr>
          <w:sz w:val="24"/>
          <w:szCs w:val="24"/>
        </w:rPr>
        <w:t xml:space="preserve"> – </w:t>
      </w:r>
      <w:r w:rsidR="00AD05C1">
        <w:rPr>
          <w:sz w:val="24"/>
          <w:szCs w:val="24"/>
        </w:rPr>
        <w:t>3</w:t>
      </w:r>
      <w:r w:rsidR="003A7F8D">
        <w:rPr>
          <w:sz w:val="24"/>
          <w:szCs w:val="24"/>
        </w:rPr>
        <w:t> </w:t>
      </w:r>
      <w:r w:rsidR="00AD05C1">
        <w:rPr>
          <w:sz w:val="24"/>
          <w:szCs w:val="24"/>
        </w:rPr>
        <w:t>6</w:t>
      </w:r>
      <w:r w:rsidR="003A7F8D">
        <w:rPr>
          <w:sz w:val="24"/>
          <w:szCs w:val="24"/>
        </w:rPr>
        <w:t xml:space="preserve">00 000 </w:t>
      </w:r>
      <w:r w:rsidR="007611A6">
        <w:rPr>
          <w:sz w:val="24"/>
          <w:szCs w:val="24"/>
        </w:rPr>
        <w:t xml:space="preserve">zł, </w:t>
      </w:r>
      <w:r w:rsidR="00AD05C1">
        <w:rPr>
          <w:sz w:val="24"/>
          <w:szCs w:val="24"/>
        </w:rPr>
        <w:tab/>
      </w:r>
    </w:p>
    <w:p w:rsidR="003A7F8D" w:rsidRDefault="00E1704B" w:rsidP="003A7F8D">
      <w:pPr>
        <w:pStyle w:val="Akapitzlist"/>
        <w:spacing w:after="0"/>
        <w:ind w:left="360"/>
        <w:rPr>
          <w:sz w:val="24"/>
          <w:szCs w:val="24"/>
        </w:rPr>
      </w:pPr>
      <w:r>
        <w:rPr>
          <w:sz w:val="24"/>
          <w:szCs w:val="24"/>
        </w:rPr>
        <w:t xml:space="preserve">do dnia </w:t>
      </w:r>
      <w:r w:rsidR="003A7F8D">
        <w:rPr>
          <w:sz w:val="24"/>
          <w:szCs w:val="24"/>
        </w:rPr>
        <w:t>1</w:t>
      </w:r>
      <w:r w:rsidR="007611A6">
        <w:rPr>
          <w:sz w:val="24"/>
          <w:szCs w:val="24"/>
        </w:rPr>
        <w:t xml:space="preserve">5 </w:t>
      </w:r>
      <w:r w:rsidR="003A7F8D">
        <w:rPr>
          <w:sz w:val="24"/>
          <w:szCs w:val="24"/>
        </w:rPr>
        <w:t>grudnia</w:t>
      </w:r>
      <w:r w:rsidR="007611A6">
        <w:rPr>
          <w:sz w:val="24"/>
          <w:szCs w:val="24"/>
        </w:rPr>
        <w:t xml:space="preserve"> – </w:t>
      </w:r>
      <w:r w:rsidR="003A7F8D">
        <w:rPr>
          <w:sz w:val="24"/>
          <w:szCs w:val="24"/>
        </w:rPr>
        <w:t>1 000</w:t>
      </w:r>
      <w:r w:rsidR="007611A6">
        <w:rPr>
          <w:sz w:val="24"/>
          <w:szCs w:val="24"/>
        </w:rPr>
        <w:t xml:space="preserve"> 000 zł, </w:t>
      </w:r>
      <w:r w:rsidR="007611A6">
        <w:rPr>
          <w:sz w:val="24"/>
          <w:szCs w:val="24"/>
        </w:rPr>
        <w:tab/>
      </w:r>
    </w:p>
    <w:p w:rsidR="00264F07" w:rsidRDefault="00264F07" w:rsidP="00796C07">
      <w:pPr>
        <w:pStyle w:val="Akapitzlist"/>
        <w:spacing w:after="0"/>
        <w:ind w:left="360"/>
        <w:rPr>
          <w:sz w:val="24"/>
          <w:szCs w:val="24"/>
        </w:rPr>
      </w:pPr>
    </w:p>
    <w:p w:rsidR="00796C07" w:rsidRDefault="00796C07" w:rsidP="006916B8">
      <w:pPr>
        <w:pStyle w:val="Akapitzlist"/>
        <w:numPr>
          <w:ilvl w:val="0"/>
          <w:numId w:val="2"/>
        </w:numPr>
        <w:spacing w:after="0"/>
        <w:rPr>
          <w:sz w:val="24"/>
          <w:szCs w:val="24"/>
        </w:rPr>
      </w:pPr>
      <w:r>
        <w:rPr>
          <w:sz w:val="24"/>
          <w:szCs w:val="24"/>
        </w:rPr>
        <w:t xml:space="preserve">Rozliczenie </w:t>
      </w:r>
      <w:r w:rsidR="00264F07">
        <w:rPr>
          <w:sz w:val="24"/>
          <w:szCs w:val="24"/>
        </w:rPr>
        <w:t>wyłącznie w walucie polskiej PLN.</w:t>
      </w:r>
    </w:p>
    <w:p w:rsidR="00264F07" w:rsidRDefault="00264F07" w:rsidP="00264F07">
      <w:pPr>
        <w:pStyle w:val="Akapitzlist"/>
        <w:spacing w:after="0"/>
        <w:ind w:left="360"/>
        <w:rPr>
          <w:sz w:val="24"/>
          <w:szCs w:val="24"/>
        </w:rPr>
      </w:pPr>
    </w:p>
    <w:p w:rsidR="00264F07" w:rsidRDefault="00264F07" w:rsidP="006916B8">
      <w:pPr>
        <w:pStyle w:val="Akapitzlist"/>
        <w:numPr>
          <w:ilvl w:val="0"/>
          <w:numId w:val="2"/>
        </w:numPr>
        <w:spacing w:after="0"/>
        <w:rPr>
          <w:sz w:val="24"/>
          <w:szCs w:val="24"/>
        </w:rPr>
      </w:pPr>
      <w:r>
        <w:rPr>
          <w:sz w:val="24"/>
          <w:szCs w:val="24"/>
        </w:rPr>
        <w:t>Bank przedstawia do oferty informacj</w:t>
      </w:r>
      <w:r w:rsidR="00160409">
        <w:rPr>
          <w:sz w:val="24"/>
          <w:szCs w:val="24"/>
        </w:rPr>
        <w:t>ę</w:t>
      </w:r>
      <w:r>
        <w:rPr>
          <w:sz w:val="24"/>
          <w:szCs w:val="24"/>
        </w:rPr>
        <w:t xml:space="preserve"> o wysokości prognozowanych odsetek od kredytu z rozbiciem na poszczególne lata kredytowania.</w:t>
      </w:r>
    </w:p>
    <w:p w:rsidR="00264F07" w:rsidRPr="00264F07" w:rsidRDefault="00264F07" w:rsidP="00264F07">
      <w:pPr>
        <w:pStyle w:val="Akapitzlist"/>
        <w:rPr>
          <w:sz w:val="24"/>
          <w:szCs w:val="24"/>
        </w:rPr>
      </w:pPr>
    </w:p>
    <w:p w:rsidR="00264F07" w:rsidRDefault="00264F07" w:rsidP="006916B8">
      <w:pPr>
        <w:pStyle w:val="Akapitzlist"/>
        <w:numPr>
          <w:ilvl w:val="0"/>
          <w:numId w:val="2"/>
        </w:numPr>
        <w:spacing w:after="0"/>
        <w:rPr>
          <w:sz w:val="24"/>
          <w:szCs w:val="24"/>
        </w:rPr>
      </w:pPr>
      <w:r>
        <w:rPr>
          <w:sz w:val="24"/>
          <w:szCs w:val="24"/>
        </w:rPr>
        <w:t>Kalendarz odsetkowy 365/36</w:t>
      </w:r>
      <w:r w:rsidR="0011401D">
        <w:rPr>
          <w:sz w:val="24"/>
          <w:szCs w:val="24"/>
        </w:rPr>
        <w:t>6</w:t>
      </w:r>
      <w:r>
        <w:rPr>
          <w:sz w:val="24"/>
          <w:szCs w:val="24"/>
        </w:rPr>
        <w:t xml:space="preserve"> dni.</w:t>
      </w:r>
    </w:p>
    <w:p w:rsidR="0011401D" w:rsidRPr="0011401D" w:rsidRDefault="0011401D" w:rsidP="0011401D">
      <w:pPr>
        <w:pStyle w:val="Akapitzlist"/>
        <w:rPr>
          <w:sz w:val="24"/>
          <w:szCs w:val="24"/>
        </w:rPr>
      </w:pPr>
    </w:p>
    <w:p w:rsidR="0011401D" w:rsidRDefault="0011401D" w:rsidP="006916B8">
      <w:pPr>
        <w:pStyle w:val="Akapitzlist"/>
        <w:numPr>
          <w:ilvl w:val="0"/>
          <w:numId w:val="2"/>
        </w:numPr>
        <w:spacing w:after="0"/>
        <w:rPr>
          <w:sz w:val="24"/>
          <w:szCs w:val="24"/>
        </w:rPr>
      </w:pPr>
      <w:r>
        <w:rPr>
          <w:sz w:val="24"/>
          <w:szCs w:val="24"/>
        </w:rPr>
        <w:t xml:space="preserve">Inne uzgodnienia. </w:t>
      </w:r>
    </w:p>
    <w:p w:rsidR="0011401D" w:rsidRPr="0011401D" w:rsidRDefault="0011401D" w:rsidP="0011401D">
      <w:pPr>
        <w:pStyle w:val="Akapitzlist"/>
        <w:rPr>
          <w:sz w:val="24"/>
          <w:szCs w:val="24"/>
        </w:rPr>
      </w:pPr>
    </w:p>
    <w:p w:rsidR="0011401D" w:rsidRDefault="0011401D" w:rsidP="00F90DD2">
      <w:pPr>
        <w:pStyle w:val="Akapitzlist"/>
        <w:numPr>
          <w:ilvl w:val="0"/>
          <w:numId w:val="3"/>
        </w:numPr>
        <w:spacing w:after="0"/>
        <w:rPr>
          <w:sz w:val="24"/>
          <w:szCs w:val="24"/>
        </w:rPr>
      </w:pPr>
      <w:r>
        <w:rPr>
          <w:sz w:val="24"/>
          <w:szCs w:val="24"/>
        </w:rPr>
        <w:t>Na rachunkach zamawiającego w bankach nie ciążą zajęcia egzekucyjne.</w:t>
      </w:r>
    </w:p>
    <w:p w:rsidR="0011401D" w:rsidRDefault="0011401D" w:rsidP="00F90DD2">
      <w:pPr>
        <w:pStyle w:val="Akapitzlist"/>
        <w:numPr>
          <w:ilvl w:val="0"/>
          <w:numId w:val="3"/>
        </w:numPr>
        <w:spacing w:after="0"/>
        <w:rPr>
          <w:sz w:val="24"/>
          <w:szCs w:val="24"/>
        </w:rPr>
      </w:pPr>
      <w:r>
        <w:rPr>
          <w:sz w:val="24"/>
          <w:szCs w:val="24"/>
        </w:rPr>
        <w:lastRenderedPageBreak/>
        <w:t>Zamawiający nie posiada zaległych zobowiązań w bankach.</w:t>
      </w:r>
    </w:p>
    <w:p w:rsidR="0011401D" w:rsidRDefault="0011401D" w:rsidP="00F90DD2">
      <w:pPr>
        <w:pStyle w:val="Akapitzlist"/>
        <w:numPr>
          <w:ilvl w:val="0"/>
          <w:numId w:val="3"/>
        </w:numPr>
        <w:spacing w:after="0"/>
        <w:rPr>
          <w:sz w:val="24"/>
          <w:szCs w:val="24"/>
        </w:rPr>
      </w:pPr>
      <w:r>
        <w:rPr>
          <w:sz w:val="24"/>
          <w:szCs w:val="24"/>
        </w:rPr>
        <w:t>U zamawiającego nie był prowadzony program postępowania naprawczego w rozumieniu ustawy z dnia 27.08.2009 r. o finansach publicznych.</w:t>
      </w:r>
    </w:p>
    <w:p w:rsidR="0011401D" w:rsidRDefault="0011401D" w:rsidP="00F90DD2">
      <w:pPr>
        <w:pStyle w:val="Akapitzlist"/>
        <w:numPr>
          <w:ilvl w:val="0"/>
          <w:numId w:val="3"/>
        </w:numPr>
        <w:spacing w:after="0"/>
        <w:rPr>
          <w:sz w:val="24"/>
          <w:szCs w:val="24"/>
        </w:rPr>
      </w:pPr>
      <w:r>
        <w:rPr>
          <w:sz w:val="24"/>
          <w:szCs w:val="24"/>
        </w:rPr>
        <w:t>U zamawiającego nie były prowadzone za pośrednictwem komornika sądowego działania windykacyjne wszczynane na wniosek banków.</w:t>
      </w:r>
    </w:p>
    <w:p w:rsidR="0011401D" w:rsidRDefault="0011401D" w:rsidP="00F90DD2">
      <w:pPr>
        <w:pStyle w:val="Akapitzlist"/>
        <w:numPr>
          <w:ilvl w:val="0"/>
          <w:numId w:val="3"/>
        </w:numPr>
        <w:spacing w:after="0"/>
        <w:rPr>
          <w:sz w:val="24"/>
          <w:szCs w:val="24"/>
        </w:rPr>
      </w:pPr>
      <w:r>
        <w:rPr>
          <w:sz w:val="24"/>
          <w:szCs w:val="24"/>
        </w:rPr>
        <w:t>Zamawiający nie udzielał poręczeń i gwarancji innym podmiotom.</w:t>
      </w:r>
    </w:p>
    <w:p w:rsidR="0011401D" w:rsidRPr="00841797" w:rsidRDefault="0011401D" w:rsidP="00F90DD2">
      <w:pPr>
        <w:pStyle w:val="Akapitzlist"/>
        <w:numPr>
          <w:ilvl w:val="0"/>
          <w:numId w:val="3"/>
        </w:numPr>
        <w:spacing w:after="0"/>
        <w:rPr>
          <w:sz w:val="24"/>
          <w:szCs w:val="24"/>
        </w:rPr>
      </w:pPr>
      <w:r>
        <w:rPr>
          <w:sz w:val="24"/>
          <w:szCs w:val="24"/>
        </w:rPr>
        <w:t>Zamawiający nie posiada podpisanych umów o charakterze publiczno-pr</w:t>
      </w:r>
      <w:r w:rsidR="00170560">
        <w:rPr>
          <w:sz w:val="24"/>
          <w:szCs w:val="24"/>
        </w:rPr>
        <w:t>ywatnym</w:t>
      </w:r>
      <w:r>
        <w:rPr>
          <w:sz w:val="24"/>
          <w:szCs w:val="24"/>
        </w:rPr>
        <w:t xml:space="preserve">. </w:t>
      </w:r>
    </w:p>
    <w:p w:rsidR="006916B8" w:rsidRPr="002F397E" w:rsidRDefault="006916B8" w:rsidP="006916B8">
      <w:pPr>
        <w:pStyle w:val="Akapitzlist"/>
        <w:spacing w:after="0"/>
        <w:rPr>
          <w:sz w:val="24"/>
          <w:szCs w:val="24"/>
        </w:rPr>
      </w:pPr>
    </w:p>
    <w:sectPr w:rsidR="006916B8" w:rsidRPr="002F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70BF"/>
    <w:multiLevelType w:val="hybridMultilevel"/>
    <w:tmpl w:val="84B0C3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7614DE"/>
    <w:multiLevelType w:val="hybridMultilevel"/>
    <w:tmpl w:val="84B0C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572F80"/>
    <w:multiLevelType w:val="hybridMultilevel"/>
    <w:tmpl w:val="1D2095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97E"/>
    <w:rsid w:val="0011401D"/>
    <w:rsid w:val="001177AA"/>
    <w:rsid w:val="00142FE4"/>
    <w:rsid w:val="00160409"/>
    <w:rsid w:val="00170560"/>
    <w:rsid w:val="00264F07"/>
    <w:rsid w:val="002B2397"/>
    <w:rsid w:val="002B462D"/>
    <w:rsid w:val="002E1801"/>
    <w:rsid w:val="002F397E"/>
    <w:rsid w:val="003A7F8D"/>
    <w:rsid w:val="004D235D"/>
    <w:rsid w:val="0050289E"/>
    <w:rsid w:val="0052755C"/>
    <w:rsid w:val="006916B8"/>
    <w:rsid w:val="006C52E5"/>
    <w:rsid w:val="006C6FF2"/>
    <w:rsid w:val="006E4737"/>
    <w:rsid w:val="007400E5"/>
    <w:rsid w:val="007611A6"/>
    <w:rsid w:val="00796C07"/>
    <w:rsid w:val="008120B1"/>
    <w:rsid w:val="00841797"/>
    <w:rsid w:val="00996FDE"/>
    <w:rsid w:val="00AD05C1"/>
    <w:rsid w:val="00B701B3"/>
    <w:rsid w:val="00D1773E"/>
    <w:rsid w:val="00D77F26"/>
    <w:rsid w:val="00DB0406"/>
    <w:rsid w:val="00DC20E6"/>
    <w:rsid w:val="00E1704B"/>
    <w:rsid w:val="00E517F4"/>
    <w:rsid w:val="00E636FB"/>
    <w:rsid w:val="00F90DD2"/>
    <w:rsid w:val="00FC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3DDE"/>
  <w15:docId w15:val="{834384B5-50E8-4895-8704-3B64501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97E"/>
    <w:pPr>
      <w:ind w:left="720"/>
      <w:contextualSpacing/>
    </w:pPr>
  </w:style>
  <w:style w:type="paragraph" w:styleId="Tekstdymka">
    <w:name w:val="Balloon Text"/>
    <w:basedOn w:val="Normalny"/>
    <w:link w:val="TekstdymkaZnak"/>
    <w:uiPriority w:val="99"/>
    <w:semiHidden/>
    <w:unhideWhenUsed/>
    <w:rsid w:val="00F90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0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2357">
      <w:bodyDiv w:val="1"/>
      <w:marLeft w:val="0"/>
      <w:marRight w:val="0"/>
      <w:marTop w:val="0"/>
      <w:marBottom w:val="0"/>
      <w:divBdr>
        <w:top w:val="none" w:sz="0" w:space="0" w:color="auto"/>
        <w:left w:val="none" w:sz="0" w:space="0" w:color="auto"/>
        <w:bottom w:val="none" w:sz="0" w:space="0" w:color="auto"/>
        <w:right w:val="none" w:sz="0" w:space="0" w:color="auto"/>
      </w:divBdr>
    </w:div>
    <w:div w:id="19897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Wasiak</dc:creator>
  <cp:lastModifiedBy>Paulina Wiśniewska</cp:lastModifiedBy>
  <cp:revision>5</cp:revision>
  <cp:lastPrinted>2019-07-23T06:28:00Z</cp:lastPrinted>
  <dcterms:created xsi:type="dcterms:W3CDTF">2019-07-23T12:05:00Z</dcterms:created>
  <dcterms:modified xsi:type="dcterms:W3CDTF">2019-07-30T11:45:00Z</dcterms:modified>
</cp:coreProperties>
</file>