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BiGK.271.1.8</w:t>
      </w:r>
      <w:r w:rsidR="00595BFA">
        <w:rPr>
          <w:rFonts w:ascii="Times New Roman" w:hAnsi="Times New Roman" w:cs="Times New Roman"/>
          <w:b/>
          <w:bCs/>
        </w:rPr>
        <w:t>.2018</w:t>
      </w:r>
      <w:r w:rsidR="00595BFA" w:rsidRPr="00F772D2">
        <w:rPr>
          <w:rFonts w:ascii="Times New Roman" w:hAnsi="Times New Roman" w:cs="Times New Roman"/>
          <w:b/>
          <w:bCs/>
        </w:rPr>
        <w:t xml:space="preserve">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boiska na osiedlu Działki w Lidzbarku”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Pr="004B4FAA" w:rsidRDefault="004B4FAA" w:rsidP="004B4FAA">
      <w:pPr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4B4FAA">
        <w:rPr>
          <w:rFonts w:ascii="Times New Roman" w:hAnsi="Times New Roman" w:cs="Times New Roman"/>
          <w:sz w:val="24"/>
          <w:szCs w:val="24"/>
        </w:rPr>
        <w:t xml:space="preserve">Oświadczam, że  oferuję </w:t>
      </w:r>
      <w:r w:rsidRPr="004B4FAA">
        <w:rPr>
          <w:rStyle w:val="FontStyle73"/>
          <w:rFonts w:ascii="Times New Roman" w:hAnsi="Times New Roman" w:cs="Times New Roman"/>
          <w:sz w:val="24"/>
          <w:szCs w:val="24"/>
        </w:rPr>
        <w:t>skrócenie terminu realizacji zamówienia o …………..  dni tzn. do dnia …….…2018 r.</w:t>
      </w: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193C79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193C79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końcowych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4F5F5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F772D2" w:rsidRDefault="00595BFA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95BFA" w:rsidRPr="00F772D2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12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 xml:space="preserve">13.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A1" w:rsidRDefault="00CE76A1" w:rsidP="00C25872">
      <w:pPr>
        <w:spacing w:after="0" w:line="240" w:lineRule="auto"/>
      </w:pPr>
      <w:r>
        <w:separator/>
      </w:r>
    </w:p>
  </w:endnote>
  <w:endnote w:type="continuationSeparator" w:id="0">
    <w:p w:rsidR="00CE76A1" w:rsidRDefault="00CE76A1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FA" w:rsidRDefault="00595BFA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A1" w:rsidRDefault="00CE76A1" w:rsidP="00C25872">
      <w:pPr>
        <w:spacing w:after="0" w:line="240" w:lineRule="auto"/>
      </w:pPr>
      <w:r>
        <w:separator/>
      </w:r>
    </w:p>
  </w:footnote>
  <w:footnote w:type="continuationSeparator" w:id="0">
    <w:p w:rsidR="00CE76A1" w:rsidRDefault="00CE76A1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22"/>
    <w:rsid w:val="000228EE"/>
    <w:rsid w:val="00043A2E"/>
    <w:rsid w:val="000615F8"/>
    <w:rsid w:val="00073D6F"/>
    <w:rsid w:val="0008709D"/>
    <w:rsid w:val="000929B5"/>
    <w:rsid w:val="000A4336"/>
    <w:rsid w:val="000E2C05"/>
    <w:rsid w:val="000F3824"/>
    <w:rsid w:val="000F4717"/>
    <w:rsid w:val="00111BE0"/>
    <w:rsid w:val="001123DA"/>
    <w:rsid w:val="001313A8"/>
    <w:rsid w:val="00135BCF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40378"/>
    <w:rsid w:val="00243098"/>
    <w:rsid w:val="002568CE"/>
    <w:rsid w:val="00287729"/>
    <w:rsid w:val="0029038F"/>
    <w:rsid w:val="00295ADD"/>
    <w:rsid w:val="002A02CE"/>
    <w:rsid w:val="002B2C0D"/>
    <w:rsid w:val="002C3F45"/>
    <w:rsid w:val="002C749E"/>
    <w:rsid w:val="002E4588"/>
    <w:rsid w:val="002F1713"/>
    <w:rsid w:val="002F2E29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151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31B62"/>
    <w:rsid w:val="008437C4"/>
    <w:rsid w:val="00850ACB"/>
    <w:rsid w:val="00855740"/>
    <w:rsid w:val="00862E61"/>
    <w:rsid w:val="00873F7E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B07433"/>
    <w:rsid w:val="00B10F9B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5410E"/>
    <w:rsid w:val="00D65099"/>
    <w:rsid w:val="00DA4784"/>
    <w:rsid w:val="00DC5135"/>
    <w:rsid w:val="00E04C3E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6B2C-1A36-4FC5-82A3-0EFC4F1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521</Words>
  <Characters>3129</Characters>
  <Application>Microsoft Office Word</Application>
  <DocSecurity>0</DocSecurity>
  <Lines>26</Lines>
  <Paragraphs>7</Paragraphs>
  <ScaleCrop>false</ScaleCrop>
  <Company>UMiG Lidzbark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128</cp:revision>
  <cp:lastPrinted>2018-04-27T12:01:00Z</cp:lastPrinted>
  <dcterms:created xsi:type="dcterms:W3CDTF">2016-11-18T08:04:00Z</dcterms:created>
  <dcterms:modified xsi:type="dcterms:W3CDTF">2018-04-27T12:04:00Z</dcterms:modified>
</cp:coreProperties>
</file>