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4E" w:rsidRDefault="0006174E" w:rsidP="0006174E">
      <w:pPr>
        <w:pStyle w:val="Bezodstpw"/>
        <w:jc w:val="center"/>
        <w:rPr>
          <w:b/>
        </w:rPr>
      </w:pPr>
      <w:r>
        <w:rPr>
          <w:b/>
        </w:rPr>
        <w:t>WARUNKI PRZETARGU</w:t>
      </w:r>
    </w:p>
    <w:p w:rsidR="0006174E" w:rsidRDefault="0006174E" w:rsidP="0006174E">
      <w:pPr>
        <w:pStyle w:val="Bezodstpw"/>
        <w:jc w:val="center"/>
        <w:rPr>
          <w:b/>
        </w:rPr>
      </w:pPr>
      <w:r>
        <w:rPr>
          <w:b/>
        </w:rPr>
        <w:t xml:space="preserve">USTNEGO NIEOGRANICZONEGO NA SPRZEDAŻ </w:t>
      </w:r>
      <w:proofErr w:type="gramStart"/>
      <w:r>
        <w:rPr>
          <w:b/>
        </w:rPr>
        <w:t>NIERUCHOMOŚCI</w:t>
      </w:r>
      <w:r w:rsidR="00E36F59">
        <w:rPr>
          <w:b/>
        </w:rPr>
        <w:t xml:space="preserve">  </w:t>
      </w:r>
      <w:r w:rsidR="00404270">
        <w:rPr>
          <w:b/>
        </w:rPr>
        <w:t>GRUNTOWEJ</w:t>
      </w:r>
      <w:proofErr w:type="gramEnd"/>
      <w:r>
        <w:rPr>
          <w:b/>
        </w:rPr>
        <w:t xml:space="preserve"> STANOWIĄCEJ WŁASNOŚĆ GMINY LIDZBARK</w:t>
      </w:r>
    </w:p>
    <w:p w:rsidR="0006174E" w:rsidRDefault="0006174E" w:rsidP="0006174E">
      <w:pPr>
        <w:pStyle w:val="Tekstpodstawowy2"/>
        <w:jc w:val="both"/>
        <w:rPr>
          <w:rFonts w:ascii="Arial" w:hAnsi="Arial" w:cs="Arial"/>
          <w:sz w:val="20"/>
        </w:rPr>
      </w:pPr>
    </w:p>
    <w:p w:rsidR="0006174E" w:rsidRDefault="0006174E" w:rsidP="0006174E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06174E" w:rsidRDefault="0006174E" w:rsidP="0006174E">
      <w:pPr>
        <w:pStyle w:val="Bezodstpw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jest przez Burmistrza Lidzbarka, na podstawie przepisów art. 37 ust.1 </w:t>
      </w:r>
      <w:r>
        <w:rPr>
          <w:rFonts w:ascii="Arial" w:hAnsi="Arial" w:cs="Arial"/>
          <w:sz w:val="20"/>
          <w:szCs w:val="20"/>
        </w:rPr>
        <w:br/>
        <w:t xml:space="preserve">i art.38 ustawy z </w:t>
      </w:r>
      <w:proofErr w:type="gramStart"/>
      <w:r>
        <w:rPr>
          <w:rFonts w:ascii="Arial" w:hAnsi="Arial" w:cs="Arial"/>
          <w:sz w:val="20"/>
          <w:szCs w:val="20"/>
        </w:rPr>
        <w:t>dnia  21 sierpnia</w:t>
      </w:r>
      <w:proofErr w:type="gramEnd"/>
      <w:r>
        <w:rPr>
          <w:rFonts w:ascii="Arial" w:hAnsi="Arial" w:cs="Arial"/>
          <w:sz w:val="20"/>
          <w:szCs w:val="20"/>
        </w:rPr>
        <w:t xml:space="preserve"> 1997r o gospodarce nieruchomościami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>. z 201</w:t>
      </w:r>
      <w:r w:rsidR="0040427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r</w:t>
      </w:r>
      <w:proofErr w:type="gramStart"/>
      <w:r>
        <w:rPr>
          <w:rFonts w:ascii="Arial" w:hAnsi="Arial" w:cs="Arial"/>
          <w:sz w:val="20"/>
          <w:szCs w:val="20"/>
        </w:rPr>
        <w:t>.,poz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404270">
        <w:rPr>
          <w:rFonts w:ascii="Arial" w:hAnsi="Arial" w:cs="Arial"/>
          <w:sz w:val="20"/>
          <w:szCs w:val="20"/>
        </w:rPr>
        <w:t>1774</w:t>
      </w:r>
      <w:r>
        <w:rPr>
          <w:rFonts w:ascii="Arial" w:hAnsi="Arial" w:cs="Arial"/>
          <w:sz w:val="20"/>
          <w:szCs w:val="20"/>
        </w:rPr>
        <w:t xml:space="preserve"> ze zm.), oraz § 6 Rozporządzenia Rady Ministrów z dnia 14 września 2004r. w sprawie sposobu i trybu przeprowadzania przetargów oraz rokowań na zbycie nieruchomości (</w:t>
      </w:r>
      <w:proofErr w:type="spellStart"/>
      <w:r>
        <w:rPr>
          <w:rFonts w:ascii="Arial" w:hAnsi="Arial" w:cs="Arial"/>
          <w:sz w:val="20"/>
          <w:szCs w:val="20"/>
        </w:rPr>
        <w:t>Dz.U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2014r. poz</w:t>
      </w:r>
      <w:r w:rsidR="00E4065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1490).</w:t>
      </w:r>
    </w:p>
    <w:p w:rsidR="0006174E" w:rsidRDefault="0006174E" w:rsidP="0006174E">
      <w:pPr>
        <w:pStyle w:val="Bezodstpw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06174E" w:rsidRDefault="0006174E" w:rsidP="0006174E">
      <w:pPr>
        <w:pStyle w:val="Bezodstpw"/>
        <w:ind w:left="284"/>
        <w:rPr>
          <w:rFonts w:ascii="Arial" w:hAnsi="Arial" w:cs="Arial"/>
          <w:sz w:val="20"/>
          <w:szCs w:val="20"/>
          <w:u w:val="single"/>
        </w:rPr>
      </w:pPr>
    </w:p>
    <w:p w:rsidR="0006174E" w:rsidRDefault="0006174E" w:rsidP="0006174E">
      <w:pPr>
        <w:pStyle w:val="Bezodstpw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Przedmiotem przetargu jest nieruchomość </w:t>
      </w:r>
      <w:r w:rsidR="007F4A5D">
        <w:rPr>
          <w:rFonts w:ascii="Arial" w:hAnsi="Arial" w:cs="Arial"/>
          <w:sz w:val="20"/>
          <w:szCs w:val="20"/>
        </w:rPr>
        <w:t>gruntowa nie</w:t>
      </w:r>
      <w:r w:rsidR="00E36F59">
        <w:rPr>
          <w:rFonts w:ascii="Arial" w:hAnsi="Arial" w:cs="Arial"/>
          <w:sz w:val="20"/>
          <w:szCs w:val="20"/>
        </w:rPr>
        <w:t xml:space="preserve">zabudowana </w:t>
      </w:r>
      <w:r>
        <w:rPr>
          <w:rFonts w:ascii="Arial" w:hAnsi="Arial" w:cs="Arial"/>
          <w:sz w:val="20"/>
          <w:szCs w:val="20"/>
        </w:rPr>
        <w:t xml:space="preserve">przeznaczona do sprzedaży, stanowiąca własność Gminy Lidzbark, położona w </w:t>
      </w:r>
      <w:r w:rsidR="007F4A5D">
        <w:rPr>
          <w:rFonts w:ascii="Arial" w:hAnsi="Arial" w:cs="Arial"/>
          <w:sz w:val="20"/>
          <w:szCs w:val="20"/>
        </w:rPr>
        <w:t>Bryńsku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gmina  Lidzbark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F4A5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z dostępem do drogi i mediów, zapisana w księdze wieczystej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KW EL1D/0002</w:t>
      </w:r>
      <w:r w:rsidR="00E36F59">
        <w:rPr>
          <w:rFonts w:ascii="Arial" w:hAnsi="Arial" w:cs="Arial"/>
          <w:b/>
          <w:sz w:val="20"/>
          <w:szCs w:val="20"/>
        </w:rPr>
        <w:t>7</w:t>
      </w:r>
      <w:r w:rsidR="007F4A5D">
        <w:rPr>
          <w:rFonts w:ascii="Arial" w:hAnsi="Arial" w:cs="Arial"/>
          <w:b/>
          <w:sz w:val="20"/>
          <w:szCs w:val="20"/>
        </w:rPr>
        <w:t>785</w:t>
      </w:r>
      <w:r w:rsidR="00E36F59">
        <w:rPr>
          <w:rFonts w:ascii="Arial" w:hAnsi="Arial" w:cs="Arial"/>
          <w:b/>
          <w:sz w:val="20"/>
          <w:szCs w:val="20"/>
        </w:rPr>
        <w:t>/</w:t>
      </w:r>
      <w:r w:rsidR="007F4A5D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prowadzonej przez Sąd Rejonowy w Działdowie IV Wydział Ksiąg Wieczystych, oznaczona w ewidencji gruntów obrębu </w:t>
      </w:r>
      <w:r w:rsidR="007F4A5D">
        <w:rPr>
          <w:rFonts w:ascii="Arial" w:hAnsi="Arial" w:cs="Arial"/>
          <w:sz w:val="20"/>
          <w:szCs w:val="20"/>
        </w:rPr>
        <w:t>Bryńsk</w:t>
      </w:r>
      <w:r>
        <w:rPr>
          <w:rFonts w:ascii="Arial" w:hAnsi="Arial" w:cs="Arial"/>
          <w:sz w:val="20"/>
          <w:szCs w:val="20"/>
        </w:rPr>
        <w:t xml:space="preserve"> numerem działki </w:t>
      </w:r>
      <w:r w:rsidR="00C71903">
        <w:rPr>
          <w:rFonts w:ascii="Arial" w:hAnsi="Arial" w:cs="Arial"/>
          <w:sz w:val="20"/>
          <w:szCs w:val="20"/>
        </w:rPr>
        <w:br/>
      </w:r>
      <w:r w:rsidR="007F4A5D">
        <w:rPr>
          <w:rFonts w:ascii="Arial" w:hAnsi="Arial" w:cs="Arial"/>
          <w:sz w:val="20"/>
          <w:szCs w:val="20"/>
        </w:rPr>
        <w:t>472</w:t>
      </w:r>
      <w:r>
        <w:rPr>
          <w:rFonts w:ascii="Arial" w:hAnsi="Arial" w:cs="Arial"/>
          <w:sz w:val="20"/>
          <w:szCs w:val="20"/>
        </w:rPr>
        <w:t xml:space="preserve"> o powierzchni </w:t>
      </w:r>
      <w:r>
        <w:rPr>
          <w:rFonts w:ascii="Arial" w:hAnsi="Arial" w:cs="Arial"/>
          <w:b/>
          <w:sz w:val="20"/>
          <w:szCs w:val="20"/>
        </w:rPr>
        <w:t>0,</w:t>
      </w:r>
      <w:r w:rsidR="007F4A5D">
        <w:rPr>
          <w:rFonts w:ascii="Arial" w:hAnsi="Arial" w:cs="Arial"/>
          <w:b/>
          <w:sz w:val="20"/>
          <w:szCs w:val="20"/>
        </w:rPr>
        <w:t>44</w:t>
      </w:r>
      <w:r>
        <w:rPr>
          <w:rFonts w:ascii="Arial" w:hAnsi="Arial" w:cs="Arial"/>
          <w:b/>
          <w:sz w:val="20"/>
          <w:szCs w:val="20"/>
        </w:rPr>
        <w:t>ha</w:t>
      </w:r>
      <w:r>
        <w:rPr>
          <w:rFonts w:ascii="Arial" w:hAnsi="Arial" w:cs="Arial"/>
          <w:sz w:val="20"/>
          <w:szCs w:val="20"/>
        </w:rPr>
        <w:t>.</w:t>
      </w:r>
    </w:p>
    <w:p w:rsidR="0006174E" w:rsidRDefault="0006174E" w:rsidP="0006174E">
      <w:pPr>
        <w:pStyle w:val="Bezodstpw"/>
        <w:numPr>
          <w:ilvl w:val="0"/>
          <w:numId w:val="1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Brak jest obowiązującego planu zagospodarowania przestrzennego dla obszaru obejmującego przedmiotową nieruchomość. </w:t>
      </w:r>
      <w:r w:rsidR="007F4A5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</w:t>
      </w:r>
      <w:r w:rsidR="00C7190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tudium uwarunkowań i kierunków zagospodarowania przestrzennego gminy Lidzbark, </w:t>
      </w:r>
      <w:r w:rsidR="00E36F59">
        <w:rPr>
          <w:rFonts w:ascii="Arial" w:hAnsi="Arial" w:cs="Arial"/>
          <w:sz w:val="20"/>
          <w:szCs w:val="20"/>
        </w:rPr>
        <w:t>działka po</w:t>
      </w:r>
      <w:r w:rsidR="00C71903">
        <w:rPr>
          <w:rFonts w:ascii="Arial" w:hAnsi="Arial" w:cs="Arial"/>
          <w:sz w:val="20"/>
          <w:szCs w:val="20"/>
        </w:rPr>
        <w:t>łoż</w:t>
      </w:r>
      <w:r w:rsidR="00E36F59">
        <w:rPr>
          <w:rFonts w:ascii="Arial" w:hAnsi="Arial" w:cs="Arial"/>
          <w:sz w:val="20"/>
          <w:szCs w:val="20"/>
        </w:rPr>
        <w:t>na jest w teren</w:t>
      </w:r>
      <w:r w:rsidR="007F4A5D">
        <w:rPr>
          <w:rFonts w:ascii="Arial" w:hAnsi="Arial" w:cs="Arial"/>
          <w:sz w:val="20"/>
          <w:szCs w:val="20"/>
        </w:rPr>
        <w:t>ie</w:t>
      </w:r>
      <w:r w:rsidR="00E36F5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F4A5D">
        <w:rPr>
          <w:rFonts w:ascii="Arial" w:hAnsi="Arial" w:cs="Arial"/>
          <w:sz w:val="20"/>
          <w:szCs w:val="20"/>
        </w:rPr>
        <w:t>oznaczonym jako</w:t>
      </w:r>
      <w:proofErr w:type="gramEnd"/>
      <w:r w:rsidR="007F4A5D">
        <w:rPr>
          <w:rFonts w:ascii="Arial" w:hAnsi="Arial" w:cs="Arial"/>
          <w:sz w:val="20"/>
          <w:szCs w:val="20"/>
        </w:rPr>
        <w:t xml:space="preserve"> „granice zwartej zabudowy wsi”</w:t>
      </w:r>
      <w:r w:rsidR="00E36F59">
        <w:rPr>
          <w:rFonts w:ascii="Arial" w:hAnsi="Arial" w:cs="Arial"/>
          <w:sz w:val="20"/>
          <w:szCs w:val="20"/>
        </w:rPr>
        <w:t>.</w:t>
      </w:r>
    </w:p>
    <w:p w:rsidR="0006174E" w:rsidRDefault="0006174E" w:rsidP="0006174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Nieruchomość nie jest przedmiotem jakichkolwiek zobowiązań oraz nie jest obciążona żadnymi prawami.</w:t>
      </w:r>
    </w:p>
    <w:p w:rsidR="0006174E" w:rsidRDefault="0006174E" w:rsidP="0006174E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ustnego nieograniczonego jest uzyskanie najwyższej ceny za zbywaną nieruchomość.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wywoławcza nieruchomości wynosi </w:t>
      </w:r>
      <w:r w:rsidR="007F4A5D">
        <w:rPr>
          <w:rFonts w:ascii="Arial" w:hAnsi="Arial" w:cs="Arial"/>
          <w:b/>
          <w:sz w:val="20"/>
          <w:szCs w:val="20"/>
        </w:rPr>
        <w:t>105</w:t>
      </w:r>
      <w:r>
        <w:rPr>
          <w:rFonts w:ascii="Arial" w:hAnsi="Arial" w:cs="Arial"/>
          <w:b/>
          <w:sz w:val="20"/>
          <w:szCs w:val="20"/>
        </w:rPr>
        <w:t>.</w:t>
      </w:r>
      <w:r w:rsidR="007F4A5D">
        <w:rPr>
          <w:rFonts w:ascii="Arial" w:hAnsi="Arial" w:cs="Arial"/>
          <w:b/>
          <w:sz w:val="20"/>
          <w:szCs w:val="20"/>
        </w:rPr>
        <w:t>8</w:t>
      </w:r>
      <w:r w:rsidR="00C71903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 xml:space="preserve">,00 </w:t>
      </w:r>
      <w:proofErr w:type="gramStart"/>
      <w:r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(słownie:</w:t>
      </w:r>
      <w:r w:rsidR="00C71903">
        <w:rPr>
          <w:rFonts w:ascii="Arial" w:hAnsi="Arial" w:cs="Arial"/>
          <w:sz w:val="20"/>
          <w:szCs w:val="20"/>
        </w:rPr>
        <w:t xml:space="preserve"> </w:t>
      </w:r>
      <w:r w:rsidR="007F4A5D">
        <w:rPr>
          <w:rFonts w:ascii="Arial" w:hAnsi="Arial" w:cs="Arial"/>
          <w:sz w:val="20"/>
          <w:szCs w:val="20"/>
        </w:rPr>
        <w:t>sto pięć</w:t>
      </w:r>
      <w:r w:rsidR="00C71903">
        <w:rPr>
          <w:rFonts w:ascii="Arial" w:hAnsi="Arial" w:cs="Arial"/>
          <w:sz w:val="20"/>
          <w:szCs w:val="20"/>
        </w:rPr>
        <w:t xml:space="preserve"> tysięcy </w:t>
      </w:r>
      <w:r w:rsidR="007F4A5D">
        <w:rPr>
          <w:rFonts w:ascii="Arial" w:hAnsi="Arial" w:cs="Arial"/>
          <w:sz w:val="20"/>
          <w:szCs w:val="20"/>
        </w:rPr>
        <w:t>osiemset</w:t>
      </w:r>
      <w:r>
        <w:rPr>
          <w:rFonts w:ascii="Arial" w:hAnsi="Arial" w:cs="Arial"/>
          <w:sz w:val="20"/>
          <w:szCs w:val="20"/>
        </w:rPr>
        <w:t xml:space="preserve"> złotych) netto.</w:t>
      </w:r>
    </w:p>
    <w:p w:rsidR="0006174E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ceny netto uzyskanej w przetargu zostanie doliczony podatek VAT (według stawki obowiązującej w dniu zbycia).</w:t>
      </w:r>
    </w:p>
    <w:p w:rsidR="0006174E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7F4A5D">
        <w:rPr>
          <w:rFonts w:ascii="Arial" w:hAnsi="Arial" w:cs="Arial"/>
          <w:b/>
          <w:sz w:val="20"/>
          <w:szCs w:val="20"/>
        </w:rPr>
        <w:t>10</w:t>
      </w:r>
      <w:r w:rsidRPr="00C71903">
        <w:rPr>
          <w:rFonts w:ascii="Arial" w:hAnsi="Arial" w:cs="Arial"/>
          <w:b/>
          <w:sz w:val="20"/>
          <w:szCs w:val="20"/>
        </w:rPr>
        <w:t>.</w:t>
      </w:r>
      <w:r w:rsidR="007F4A5D">
        <w:rPr>
          <w:rFonts w:ascii="Arial" w:hAnsi="Arial" w:cs="Arial"/>
          <w:b/>
          <w:sz w:val="20"/>
          <w:szCs w:val="20"/>
        </w:rPr>
        <w:t>58</w:t>
      </w:r>
      <w:r w:rsidR="00C7190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,00</w:t>
      </w:r>
      <w:proofErr w:type="gramStart"/>
      <w:r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(słownie: </w:t>
      </w:r>
      <w:r w:rsidR="007F4A5D">
        <w:rPr>
          <w:rFonts w:ascii="Arial" w:hAnsi="Arial" w:cs="Arial"/>
          <w:sz w:val="20"/>
          <w:szCs w:val="20"/>
        </w:rPr>
        <w:t>dziesięć tysięcy pięćset osiemdziesiąt</w:t>
      </w:r>
      <w:r>
        <w:rPr>
          <w:rFonts w:ascii="Arial" w:hAnsi="Arial" w:cs="Arial"/>
          <w:sz w:val="20"/>
          <w:szCs w:val="20"/>
        </w:rPr>
        <w:t xml:space="preserve"> złot</w:t>
      </w:r>
      <w:r w:rsidR="00C71903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)</w:t>
      </w:r>
      <w:r w:rsidR="003A6183">
        <w:rPr>
          <w:rFonts w:ascii="Arial" w:hAnsi="Arial" w:cs="Arial"/>
          <w:sz w:val="20"/>
          <w:szCs w:val="20"/>
        </w:rPr>
        <w:t>.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06174E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3A6183">
        <w:rPr>
          <w:rFonts w:ascii="Arial" w:hAnsi="Arial" w:cs="Arial"/>
          <w:b/>
          <w:sz w:val="20"/>
          <w:szCs w:val="20"/>
        </w:rPr>
        <w:t>10 czerwca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3A6183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r.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w siedzibie Urzędu Miasta </w:t>
      </w:r>
      <w:r>
        <w:rPr>
          <w:rFonts w:ascii="Arial" w:hAnsi="Arial" w:cs="Arial"/>
          <w:sz w:val="20"/>
          <w:szCs w:val="20"/>
        </w:rPr>
        <w:br/>
        <w:t xml:space="preserve">i Gminy w Lidzbarku przy ulicy Sadowej 21, </w:t>
      </w:r>
      <w:r>
        <w:rPr>
          <w:rFonts w:ascii="Arial" w:hAnsi="Arial" w:cs="Arial"/>
          <w:b/>
          <w:sz w:val="20"/>
          <w:szCs w:val="20"/>
        </w:rPr>
        <w:t>sala nr 10.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b/>
          <w:sz w:val="6"/>
          <w:szCs w:val="6"/>
        </w:rPr>
      </w:pPr>
    </w:p>
    <w:p w:rsidR="0006174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przetargu mogą uczestniczyć osoby fizyczne i prawne oraz jednostki organizacyjne </w:t>
      </w:r>
      <w:proofErr w:type="gramStart"/>
      <w:r>
        <w:rPr>
          <w:rFonts w:ascii="Arial" w:hAnsi="Arial" w:cs="Arial"/>
          <w:sz w:val="20"/>
          <w:szCs w:val="20"/>
        </w:rPr>
        <w:t>nie posiadające</w:t>
      </w:r>
      <w:proofErr w:type="gramEnd"/>
      <w:r>
        <w:rPr>
          <w:rFonts w:ascii="Arial" w:hAnsi="Arial" w:cs="Arial"/>
          <w:sz w:val="20"/>
          <w:szCs w:val="20"/>
        </w:rPr>
        <w:t xml:space="preserve"> osobowości prawnej, którym przepisy prawa powszechnie obowiązującego przyznają zdolność prawną – osobiście lub poprzez pełnomocników. </w:t>
      </w:r>
    </w:p>
    <w:p w:rsidR="0006174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osób fizycznych pozostających w związku małżeńskim, w którym obowiązuje ustrój ustawowej wspólności majątkowej do przetargu stają oboje małżonkowie lub jedno </w:t>
      </w:r>
      <w:r>
        <w:rPr>
          <w:rFonts w:ascii="Arial" w:hAnsi="Arial" w:cs="Arial"/>
          <w:sz w:val="20"/>
          <w:szCs w:val="20"/>
        </w:rPr>
        <w:br/>
        <w:t xml:space="preserve">z małżonków, jeżeli posiada notarialne pełnomocnictwo do dokonania określonej czynności prawnej.  </w:t>
      </w:r>
    </w:p>
    <w:p w:rsidR="0006174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Cudzoziemcy mogą uczestniczyć w przetargu na zasadach określonych przepisami o nabywaniu nieruchomości przez cudzoziemców. W przypadku, gdy nabycie nieruchomości nie wymaga zezwolenia Ministra Spraw Wewnętrznych i Administracji, nabywca będący cudzoziemcem </w:t>
      </w:r>
      <w:proofErr w:type="gramStart"/>
      <w:r>
        <w:rPr>
          <w:rFonts w:ascii="Arial" w:hAnsi="Arial" w:cs="Arial"/>
          <w:sz w:val="20"/>
          <w:szCs w:val="20"/>
        </w:rPr>
        <w:t>jest  zobowiązany</w:t>
      </w:r>
      <w:proofErr w:type="gramEnd"/>
      <w:r>
        <w:rPr>
          <w:rFonts w:ascii="Arial" w:hAnsi="Arial" w:cs="Arial"/>
          <w:sz w:val="20"/>
          <w:szCs w:val="20"/>
        </w:rPr>
        <w:t xml:space="preserve"> do złożenia oświadczenia w tym zakresie. </w:t>
      </w:r>
    </w:p>
    <w:p w:rsidR="0006174E" w:rsidRDefault="0006174E" w:rsidP="0006174E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06174E" w:rsidRDefault="0006174E" w:rsidP="0006174E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BA1BD7" w:rsidRDefault="00BA1BD7" w:rsidP="00BA1BD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BA1BD7" w:rsidRDefault="00BA1BD7" w:rsidP="00BA1BD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jc w:val="both"/>
        <w:rPr>
          <w:rFonts w:ascii="Arial" w:hAnsi="Arial" w:cs="Arial"/>
          <w:sz w:val="6"/>
          <w:szCs w:val="6"/>
        </w:rPr>
      </w:pPr>
    </w:p>
    <w:p w:rsidR="0006174E" w:rsidRDefault="0006174E" w:rsidP="0006174E">
      <w:pPr>
        <w:pStyle w:val="Bezodstpw"/>
        <w:ind w:left="426"/>
        <w:jc w:val="both"/>
        <w:rPr>
          <w:rFonts w:ascii="Arial" w:hAnsi="Arial" w:cs="Arial"/>
          <w:sz w:val="10"/>
          <w:szCs w:val="10"/>
        </w:rPr>
      </w:pP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BA1BD7">
        <w:rPr>
          <w:rFonts w:ascii="Arial" w:hAnsi="Arial" w:cs="Arial"/>
          <w:b/>
          <w:sz w:val="20"/>
          <w:szCs w:val="20"/>
        </w:rPr>
        <w:t>03</w:t>
      </w:r>
      <w:r w:rsidR="00C71903">
        <w:rPr>
          <w:rFonts w:ascii="Arial" w:hAnsi="Arial" w:cs="Arial"/>
          <w:b/>
          <w:sz w:val="20"/>
          <w:szCs w:val="20"/>
        </w:rPr>
        <w:t xml:space="preserve"> czerwca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BA1BD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wpłacą</w:t>
      </w:r>
      <w:proofErr w:type="gramEnd"/>
      <w:r>
        <w:rPr>
          <w:rFonts w:ascii="Arial" w:hAnsi="Arial" w:cs="Arial"/>
          <w:sz w:val="20"/>
          <w:szCs w:val="20"/>
        </w:rPr>
        <w:t xml:space="preserve"> wadium w wysokości </w:t>
      </w:r>
      <w:r w:rsidR="00BA1BD7">
        <w:rPr>
          <w:rFonts w:ascii="Arial" w:hAnsi="Arial" w:cs="Arial"/>
          <w:b/>
          <w:sz w:val="20"/>
          <w:szCs w:val="20"/>
        </w:rPr>
        <w:t>10</w:t>
      </w:r>
      <w:r w:rsidR="00C71903" w:rsidRPr="00C71903">
        <w:rPr>
          <w:rFonts w:ascii="Arial" w:hAnsi="Arial" w:cs="Arial"/>
          <w:b/>
          <w:sz w:val="20"/>
          <w:szCs w:val="20"/>
        </w:rPr>
        <w:t>.</w:t>
      </w:r>
      <w:r w:rsidR="00BA1BD7">
        <w:rPr>
          <w:rFonts w:ascii="Arial" w:hAnsi="Arial" w:cs="Arial"/>
          <w:b/>
          <w:sz w:val="20"/>
          <w:szCs w:val="20"/>
        </w:rPr>
        <w:t>58</w:t>
      </w:r>
      <w:r w:rsidR="00C71903" w:rsidRPr="00C71903">
        <w:rPr>
          <w:rFonts w:ascii="Arial" w:hAnsi="Arial" w:cs="Arial"/>
          <w:b/>
          <w:sz w:val="20"/>
          <w:szCs w:val="20"/>
        </w:rPr>
        <w:t>0</w:t>
      </w:r>
      <w:r w:rsidRPr="00C71903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proofErr w:type="gramStart"/>
      <w:r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sz w:val="20"/>
          <w:szCs w:val="20"/>
        </w:rPr>
        <w:t xml:space="preserve"> (słownie:</w:t>
      </w:r>
      <w:r w:rsidR="00C71903">
        <w:rPr>
          <w:rFonts w:ascii="Arial" w:hAnsi="Arial" w:cs="Arial"/>
          <w:sz w:val="20"/>
          <w:szCs w:val="20"/>
        </w:rPr>
        <w:t xml:space="preserve"> </w:t>
      </w:r>
      <w:r w:rsidR="00BA1BD7">
        <w:rPr>
          <w:rFonts w:ascii="Arial" w:hAnsi="Arial" w:cs="Arial"/>
          <w:sz w:val="20"/>
          <w:szCs w:val="20"/>
        </w:rPr>
        <w:t>dziesięć tysięcy pięćset osiemdziesiąt</w:t>
      </w:r>
      <w:r w:rsidR="00C719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1903">
        <w:rPr>
          <w:rFonts w:ascii="Arial" w:hAnsi="Arial" w:cs="Arial"/>
          <w:sz w:val="20"/>
          <w:szCs w:val="20"/>
        </w:rPr>
        <w:t>złotch</w:t>
      </w:r>
      <w:proofErr w:type="spellEnd"/>
      <w:r>
        <w:rPr>
          <w:rFonts w:ascii="Arial" w:hAnsi="Arial" w:cs="Arial"/>
          <w:sz w:val="20"/>
          <w:szCs w:val="20"/>
        </w:rPr>
        <w:t xml:space="preserve">), najpóźniej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BA1BD7">
        <w:rPr>
          <w:rFonts w:ascii="Arial" w:hAnsi="Arial" w:cs="Arial"/>
          <w:b/>
          <w:sz w:val="20"/>
          <w:szCs w:val="20"/>
        </w:rPr>
        <w:t>03</w:t>
      </w:r>
      <w:r w:rsidR="00C71903">
        <w:rPr>
          <w:rFonts w:ascii="Arial" w:hAnsi="Arial" w:cs="Arial"/>
          <w:b/>
          <w:sz w:val="20"/>
          <w:szCs w:val="20"/>
        </w:rPr>
        <w:t xml:space="preserve"> czerwca</w:t>
      </w:r>
      <w:r>
        <w:rPr>
          <w:rFonts w:ascii="Arial" w:hAnsi="Arial" w:cs="Arial"/>
          <w:b/>
          <w:sz w:val="20"/>
          <w:szCs w:val="20"/>
        </w:rPr>
        <w:t xml:space="preserve"> 201</w:t>
      </w:r>
      <w:r w:rsidR="00BA1BD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. przelewem na rachunek Gminy Lidzbark nr </w:t>
      </w:r>
      <w:r w:rsidR="00BA1BD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07 8215 0006 2001 0000 0941 0042 w Banku Spółdzielczym w Działdowie z/s w Lidzbarku (za datę wpłacenia wadium uważa się datę wpływu środków na konto gminy), </w:t>
      </w: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złożą</w:t>
      </w:r>
      <w:proofErr w:type="gramEnd"/>
      <w:r>
        <w:rPr>
          <w:rFonts w:ascii="Arial" w:hAnsi="Arial" w:cs="Arial"/>
          <w:sz w:val="20"/>
          <w:szCs w:val="20"/>
        </w:rPr>
        <w:t xml:space="preserve"> podpisane oświadczenie o zapoznaniu się z warunkami przetargu, (wzór oświadczenia stanowi załącznik nr 2), </w:t>
      </w:r>
    </w:p>
    <w:p w:rsidR="0006174E" w:rsidRDefault="0006174E" w:rsidP="0006174E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okażą</w:t>
      </w:r>
      <w:proofErr w:type="gramEnd"/>
      <w:r>
        <w:rPr>
          <w:rFonts w:ascii="Arial" w:hAnsi="Arial" w:cs="Arial"/>
          <w:sz w:val="20"/>
          <w:szCs w:val="20"/>
        </w:rPr>
        <w:t xml:space="preserve"> się dokumentem stwierdzającym tożsamość, a jeżeli uczestnika przetargu zastępuje inna osoba, winna ona przedstawić notarialne pełnomocnictwo do dokonania określonej czynności prawnej.</w:t>
      </w:r>
    </w:p>
    <w:p w:rsidR="0006174E" w:rsidRDefault="0006174E" w:rsidP="0006174E">
      <w:pPr>
        <w:pStyle w:val="Bezodstpw"/>
        <w:ind w:left="786"/>
        <w:jc w:val="both"/>
        <w:rPr>
          <w:rFonts w:ascii="Arial" w:hAnsi="Arial" w:cs="Arial"/>
          <w:sz w:val="10"/>
          <w:szCs w:val="10"/>
        </w:rPr>
      </w:pPr>
    </w:p>
    <w:p w:rsidR="0006174E" w:rsidRDefault="0006174E" w:rsidP="0006174E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62C7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 Wadium wniesione przez osobę wygrywającą przetarg zalicza się na poczet ceny nabycia nieruchomości, a w przypadku uchylenia się przez tę osobę od zawarcia umowy, wadium przepada na rzecz Gminy Lidzbark.</w:t>
      </w:r>
    </w:p>
    <w:p w:rsidR="0006174E" w:rsidRDefault="0006174E" w:rsidP="0006174E">
      <w:pPr>
        <w:pStyle w:val="Bezodstpw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62C7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Wadium wniesione przez pozostałych uczestników zwraca się po zakończeniu przetargu, nie później niż w ciągu 3 dni roboczych po zakończeniu przetargu, przelewem na wskazane przez nich rachunki.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przeprowadza Komisja Przetargowa powołana przez Burmistrza Lidzbarka Zarządzeniem Nr 19/2015 z dnia 06 </w:t>
      </w:r>
      <w:proofErr w:type="gramStart"/>
      <w:r>
        <w:rPr>
          <w:rFonts w:ascii="Arial" w:hAnsi="Arial" w:cs="Arial"/>
          <w:sz w:val="20"/>
          <w:szCs w:val="20"/>
        </w:rPr>
        <w:t>marca 2015r., która</w:t>
      </w:r>
      <w:proofErr w:type="gramEnd"/>
      <w:r>
        <w:rPr>
          <w:rFonts w:ascii="Arial" w:hAnsi="Arial" w:cs="Arial"/>
          <w:sz w:val="20"/>
          <w:szCs w:val="20"/>
        </w:rPr>
        <w:t xml:space="preserve"> działa na podstawie Regulaminu Pracy.</w:t>
      </w: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otwiera</w:t>
      </w:r>
      <w:proofErr w:type="gramEnd"/>
      <w:r>
        <w:rPr>
          <w:rFonts w:ascii="Arial" w:hAnsi="Arial" w:cs="Arial"/>
          <w:sz w:val="20"/>
          <w:szCs w:val="20"/>
        </w:rPr>
        <w:t xml:space="preserve"> przetarg,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dane dotyczące nieruchomości będącej przedmiotem przetargu,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cenę wywoławczą oraz sposób uiszczenia ceny sprzedaży,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podaje</w:t>
      </w:r>
      <w:proofErr w:type="gramEnd"/>
      <w:r>
        <w:rPr>
          <w:rFonts w:ascii="Arial" w:hAnsi="Arial" w:cs="Arial"/>
          <w:sz w:val="20"/>
          <w:szCs w:val="20"/>
        </w:rPr>
        <w:t xml:space="preserve"> wysokość postąpienia,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pouczenie</w:t>
      </w:r>
      <w:proofErr w:type="gramEnd"/>
      <w:r>
        <w:rPr>
          <w:rFonts w:ascii="Arial" w:hAnsi="Arial" w:cs="Arial"/>
          <w:sz w:val="20"/>
          <w:szCs w:val="20"/>
        </w:rPr>
        <w:t xml:space="preserve"> o skutkach uchylenia się od zawarcia umowy,</w:t>
      </w:r>
    </w:p>
    <w:p w:rsidR="0006174E" w:rsidRDefault="0006174E" w:rsidP="0006174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uczestników</w:t>
      </w:r>
      <w:proofErr w:type="gramEnd"/>
      <w:r>
        <w:rPr>
          <w:rFonts w:ascii="Arial" w:hAnsi="Arial" w:cs="Arial"/>
          <w:sz w:val="20"/>
          <w:szCs w:val="20"/>
        </w:rPr>
        <w:t xml:space="preserve"> przetargu.</w:t>
      </w:r>
    </w:p>
    <w:p w:rsidR="0006174E" w:rsidRDefault="0006174E" w:rsidP="0006174E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ogłaszają ustnie kolejne, coraz wyższe ceny nieruchomości dopóty, dopóki, mimo trzykrotnego wywołania, nie ma dalszego postąpienia.</w:t>
      </w:r>
    </w:p>
    <w:p w:rsidR="0006174E" w:rsidRDefault="0006174E" w:rsidP="0006174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>
        <w:rPr>
          <w:rFonts w:ascii="Arial" w:hAnsi="Arial" w:cs="Arial"/>
          <w:sz w:val="20"/>
          <w:szCs w:val="20"/>
        </w:rPr>
        <w:t xml:space="preserve"> ceny wywoławczej, z zaokrągleniem w górę do pełnych dziesiątek złotych. </w:t>
      </w:r>
    </w:p>
    <w:p w:rsidR="0006174E" w:rsidRDefault="0006174E" w:rsidP="0006174E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wynosi </w:t>
      </w:r>
      <w:r w:rsidR="00D721C2">
        <w:rPr>
          <w:rFonts w:ascii="Arial" w:hAnsi="Arial" w:cs="Arial"/>
          <w:b/>
          <w:sz w:val="20"/>
          <w:szCs w:val="20"/>
        </w:rPr>
        <w:t>1.1</w:t>
      </w:r>
      <w:r w:rsidR="00C71903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,-</w:t>
      </w:r>
      <w:proofErr w:type="gramStart"/>
      <w:r>
        <w:rPr>
          <w:rFonts w:ascii="Arial" w:hAnsi="Arial" w:cs="Arial"/>
          <w:b/>
          <w:sz w:val="20"/>
          <w:szCs w:val="20"/>
        </w:rPr>
        <w:t>zł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</w:p>
    <w:p w:rsidR="0006174E" w:rsidRDefault="0006174E" w:rsidP="0006174E">
      <w:pPr>
        <w:pStyle w:val="Bezodstpw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jest ważny bez względu na liczbę uczestników przetargu, jeżeli przynajmniej jeden uczestnik </w:t>
      </w:r>
      <w:proofErr w:type="gramStart"/>
      <w:r>
        <w:rPr>
          <w:rFonts w:ascii="Arial" w:hAnsi="Arial" w:cs="Arial"/>
          <w:sz w:val="20"/>
          <w:szCs w:val="20"/>
        </w:rPr>
        <w:t>zaoferował co</w:t>
      </w:r>
      <w:proofErr w:type="gramEnd"/>
      <w:r>
        <w:rPr>
          <w:rFonts w:ascii="Arial" w:hAnsi="Arial" w:cs="Arial"/>
          <w:sz w:val="20"/>
          <w:szCs w:val="20"/>
        </w:rPr>
        <w:t xml:space="preserve"> najmniej jedno postąpienie powyżej ceny wywoławczej.</w:t>
      </w:r>
    </w:p>
    <w:p w:rsidR="0006174E" w:rsidRDefault="0006174E" w:rsidP="0006174E">
      <w:pPr>
        <w:pStyle w:val="Bezodstpw"/>
        <w:spacing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Po ustaniu zgłaszania postąpień Przewodniczący Komisji uprzedza uczestników, że po trzecim </w:t>
      </w:r>
      <w:proofErr w:type="gramStart"/>
      <w:r>
        <w:rPr>
          <w:rFonts w:ascii="Arial" w:hAnsi="Arial" w:cs="Arial"/>
          <w:sz w:val="20"/>
          <w:szCs w:val="20"/>
        </w:rPr>
        <w:t>wywołaniu  najwyżej</w:t>
      </w:r>
      <w:proofErr w:type="gramEnd"/>
      <w:r>
        <w:rPr>
          <w:rFonts w:ascii="Arial" w:hAnsi="Arial" w:cs="Arial"/>
          <w:sz w:val="20"/>
          <w:szCs w:val="20"/>
        </w:rPr>
        <w:t xml:space="preserve">  z  zaoferowanych   cen   dalsze   postąpienia  nie zostaną  przyjęte,  po  czym  wywołuje  trzykrotnie  tę  cenę,  zamyka przetarg i ogłasza imię i nazwisko lub nazwę osoby, która wygrała przetarg. 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 Przewodniczący Komisji sporządza protokół z przetargu, w którym </w:t>
      </w:r>
      <w:proofErr w:type="gramStart"/>
      <w:r>
        <w:rPr>
          <w:rFonts w:ascii="Arial" w:hAnsi="Arial" w:cs="Arial"/>
          <w:sz w:val="20"/>
          <w:szCs w:val="20"/>
        </w:rPr>
        <w:t xml:space="preserve">określa : </w:t>
      </w:r>
      <w:proofErr w:type="gramEnd"/>
    </w:p>
    <w:p w:rsidR="0006174E" w:rsidRDefault="0006174E" w:rsidP="0006174E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 termin</w:t>
      </w:r>
      <w:proofErr w:type="gramEnd"/>
      <w:r>
        <w:rPr>
          <w:rFonts w:ascii="Arial" w:hAnsi="Arial" w:cs="Arial"/>
          <w:sz w:val="20"/>
          <w:szCs w:val="20"/>
        </w:rPr>
        <w:t xml:space="preserve"> i miejsce przetargu, </w:t>
      </w:r>
    </w:p>
    <w:p w:rsidR="0006174E" w:rsidRDefault="0006174E" w:rsidP="0006174E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 oznaczenie</w:t>
      </w:r>
      <w:proofErr w:type="gramEnd"/>
      <w:r>
        <w:rPr>
          <w:rFonts w:ascii="Arial" w:hAnsi="Arial" w:cs="Arial"/>
          <w:sz w:val="20"/>
          <w:szCs w:val="20"/>
        </w:rPr>
        <w:t xml:space="preserve"> nieruchomości według ewidencji gruntów i księgi wieczystej, </w:t>
      </w:r>
    </w:p>
    <w:p w:rsidR="0006174E" w:rsidRDefault="0006174E" w:rsidP="0006174E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3)  liczbę</w:t>
      </w:r>
      <w:proofErr w:type="gramEnd"/>
      <w:r>
        <w:rPr>
          <w:rFonts w:ascii="Arial" w:hAnsi="Arial" w:cs="Arial"/>
          <w:sz w:val="20"/>
          <w:szCs w:val="20"/>
        </w:rPr>
        <w:t xml:space="preserve"> osób dopuszczonych do przetargu, </w:t>
      </w:r>
    </w:p>
    <w:p w:rsidR="0006174E" w:rsidRDefault="0006174E" w:rsidP="0006174E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4)  cenę</w:t>
      </w:r>
      <w:proofErr w:type="gramEnd"/>
      <w:r>
        <w:rPr>
          <w:rFonts w:ascii="Arial" w:hAnsi="Arial" w:cs="Arial"/>
          <w:sz w:val="20"/>
          <w:szCs w:val="20"/>
        </w:rPr>
        <w:t xml:space="preserve"> osiągniętą w przetargu, </w:t>
      </w:r>
    </w:p>
    <w:p w:rsidR="0006174E" w:rsidRDefault="0006174E" w:rsidP="0006174E">
      <w:pPr>
        <w:pStyle w:val="Bezodstpw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5)  imię</w:t>
      </w:r>
      <w:proofErr w:type="gramEnd"/>
      <w:r>
        <w:rPr>
          <w:rFonts w:ascii="Arial" w:hAnsi="Arial" w:cs="Arial"/>
          <w:sz w:val="20"/>
          <w:szCs w:val="20"/>
        </w:rPr>
        <w:t xml:space="preserve">, nazwisko i adres nabywcy lub nazwę i siedzibę, jeżeli nabywcą jest osoba prawna. </w:t>
      </w: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06174E" w:rsidRDefault="0006174E" w:rsidP="0006174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06174E" w:rsidRDefault="0006174E" w:rsidP="0006174E">
      <w:pPr>
        <w:pStyle w:val="Bezodstpw"/>
        <w:jc w:val="both"/>
        <w:rPr>
          <w:b/>
          <w:sz w:val="20"/>
          <w:szCs w:val="20"/>
        </w:rPr>
      </w:pPr>
    </w:p>
    <w:p w:rsidR="0006174E" w:rsidRDefault="0006174E" w:rsidP="0006174E"/>
    <w:p w:rsidR="0006174E" w:rsidRDefault="0006174E" w:rsidP="0006174E"/>
    <w:p w:rsidR="0006174E" w:rsidRDefault="0006174E" w:rsidP="0006174E"/>
    <w:p w:rsidR="006B792F" w:rsidRDefault="006B792F"/>
    <w:sectPr w:rsidR="006B792F" w:rsidSect="000C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632D"/>
    <w:multiLevelType w:val="hybridMultilevel"/>
    <w:tmpl w:val="9E52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1D6"/>
    <w:rsid w:val="0006174E"/>
    <w:rsid w:val="000C4B8D"/>
    <w:rsid w:val="002521D6"/>
    <w:rsid w:val="003A6183"/>
    <w:rsid w:val="00404270"/>
    <w:rsid w:val="006B792F"/>
    <w:rsid w:val="00762C74"/>
    <w:rsid w:val="007F4A5D"/>
    <w:rsid w:val="00BA1BD7"/>
    <w:rsid w:val="00C71903"/>
    <w:rsid w:val="00D721C2"/>
    <w:rsid w:val="00E36F59"/>
    <w:rsid w:val="00E40655"/>
    <w:rsid w:val="00EA3D29"/>
    <w:rsid w:val="00EF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74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6174E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74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06174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61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74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06174E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74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06174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61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Rogozińska Teresa</dc:creator>
  <cp:keywords/>
  <dc:description/>
  <cp:lastModifiedBy>PC</cp:lastModifiedBy>
  <cp:revision>12</cp:revision>
  <cp:lastPrinted>2015-05-28T07:13:00Z</cp:lastPrinted>
  <dcterms:created xsi:type="dcterms:W3CDTF">2015-05-27T11:13:00Z</dcterms:created>
  <dcterms:modified xsi:type="dcterms:W3CDTF">2016-05-09T09:00:00Z</dcterms:modified>
</cp:coreProperties>
</file>